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DB" w:rsidRDefault="00A20EDB" w:rsidP="00A20EDB">
      <w:pPr>
        <w:pStyle w:val="a5"/>
        <w:spacing w:before="0" w:beforeAutospacing="0" w:after="0" w:afterAutospacing="0"/>
        <w:jc w:val="center"/>
        <w:rPr>
          <w:rFonts w:ascii="微软雅黑" w:eastAsia="微软雅黑" w:hAnsi="微软雅黑"/>
          <w:color w:val="333333"/>
          <w:sz w:val="21"/>
          <w:szCs w:val="21"/>
        </w:rPr>
      </w:pPr>
      <w:r>
        <w:rPr>
          <w:rStyle w:val="a6"/>
          <w:rFonts w:ascii="微软雅黑" w:eastAsia="微软雅黑" w:hAnsi="微软雅黑" w:hint="eastAsia"/>
          <w:color w:val="021EAA"/>
          <w:sz w:val="23"/>
          <w:szCs w:val="23"/>
        </w:rPr>
        <w:t>商品期货套利机会跟踪</w:t>
      </w:r>
    </w:p>
    <w:p w:rsidR="00A20EDB" w:rsidRDefault="00A20EDB" w:rsidP="00A20EDB">
      <w:pPr>
        <w:pStyle w:val="a5"/>
        <w:spacing w:before="0" w:beforeAutospacing="0" w:after="0" w:afterAutospacing="0"/>
        <w:rPr>
          <w:rFonts w:ascii="微软雅黑" w:eastAsia="微软雅黑" w:hAnsi="微软雅黑" w:hint="eastAsia"/>
          <w:color w:val="333333"/>
          <w:sz w:val="21"/>
          <w:szCs w:val="21"/>
        </w:rPr>
      </w:pPr>
      <w:r>
        <w:rPr>
          <w:rStyle w:val="a6"/>
          <w:rFonts w:ascii="微软雅黑" w:eastAsia="微软雅黑" w:hAnsi="微软雅黑" w:hint="eastAsia"/>
          <w:color w:val="000000"/>
          <w:sz w:val="23"/>
          <w:szCs w:val="23"/>
        </w:rPr>
        <w:t>玉米跨期套利：</w:t>
      </w:r>
    </w:p>
    <w:p w:rsidR="00A20EDB" w:rsidRDefault="00A20EDB" w:rsidP="00A20EDB">
      <w:pPr>
        <w:pStyle w:val="a5"/>
        <w:spacing w:before="0" w:beforeAutospacing="0" w:after="0" w:afterAutospacing="0"/>
        <w:jc w:val="center"/>
        <w:rPr>
          <w:rFonts w:ascii="微软雅黑" w:eastAsia="微软雅黑" w:hAnsi="微软雅黑" w:hint="eastAsia"/>
          <w:color w:val="333333"/>
          <w:sz w:val="21"/>
          <w:szCs w:val="21"/>
        </w:rPr>
      </w:pPr>
      <w:r>
        <w:rPr>
          <w:rFonts w:ascii="微软雅黑" w:eastAsia="微软雅黑" w:hAnsi="微软雅黑"/>
          <w:noProof/>
          <w:color w:val="333333"/>
          <w:sz w:val="21"/>
          <w:szCs w:val="21"/>
        </w:rPr>
        <w:drawing>
          <wp:inline distT="0" distB="0" distL="0" distR="0">
            <wp:extent cx="6098540" cy="3427095"/>
            <wp:effectExtent l="19050" t="0" r="0" b="0"/>
            <wp:docPr id="1" name="图片 1" descr="https://mmbiz.qpic.cn/mmbiz_jpg/LBX4T1S9UVF3Cy6CduakiaQ1TXrDEbQfSmiagsTDjHn8FshItvHQgS7mSKPGQgYm4AYldIqnibAgkQmA0x6qfn6kw/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jpg/LBX4T1S9UVF3Cy6CduakiaQ1TXrDEbQfSmiagsTDjHn8FshItvHQgS7mSKPGQgYm4AYldIqnibAgkQmA0x6qfn6kw/640?wx_fmt=jpeg"/>
                    <pic:cNvPicPr>
                      <a:picLocks noChangeAspect="1" noChangeArrowheads="1"/>
                    </pic:cNvPicPr>
                  </pic:nvPicPr>
                  <pic:blipFill>
                    <a:blip r:embed="rId6" cstate="print"/>
                    <a:srcRect/>
                    <a:stretch>
                      <a:fillRect/>
                    </a:stretch>
                  </pic:blipFill>
                  <pic:spPr bwMode="auto">
                    <a:xfrm>
                      <a:off x="0" y="0"/>
                      <a:ext cx="6098540" cy="3427095"/>
                    </a:xfrm>
                    <a:prstGeom prst="rect">
                      <a:avLst/>
                    </a:prstGeom>
                    <a:noFill/>
                    <a:ln w="9525">
                      <a:noFill/>
                      <a:miter lim="800000"/>
                      <a:headEnd/>
                      <a:tailEnd/>
                    </a:ln>
                  </pic:spPr>
                </pic:pic>
              </a:graphicData>
            </a:graphic>
          </wp:inline>
        </w:drawing>
      </w:r>
    </w:p>
    <w:p w:rsidR="00A20EDB" w:rsidRDefault="00A20EDB" w:rsidP="00A20EDB">
      <w:pPr>
        <w:pStyle w:val="a5"/>
        <w:spacing w:before="0" w:beforeAutospacing="0" w:after="0" w:afterAutospacing="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玉米抛储时间定在5月23日暂定抛储底价提高200元。近期玉米价格仍然比较坚挺，价差下跌到盘中-50位置，前期短线单子可全部获利了结，玉米价格突破2000，短期仍维持偏强走势，价差等待反弹后重新进场。</w:t>
      </w:r>
    </w:p>
    <w:p w:rsidR="00A20EDB" w:rsidRDefault="00A20EDB" w:rsidP="00A20EDB">
      <w:pPr>
        <w:pStyle w:val="a5"/>
        <w:spacing w:before="0" w:beforeAutospacing="0" w:after="0" w:afterAutospacing="0"/>
        <w:jc w:val="both"/>
        <w:rPr>
          <w:rFonts w:ascii="微软雅黑" w:eastAsia="微软雅黑" w:hAnsi="微软雅黑" w:hint="eastAsia"/>
          <w:color w:val="333333"/>
          <w:sz w:val="21"/>
          <w:szCs w:val="21"/>
        </w:rPr>
      </w:pPr>
    </w:p>
    <w:p w:rsidR="00A20EDB" w:rsidRDefault="00A20EDB" w:rsidP="00A20EDB">
      <w:pPr>
        <w:pStyle w:val="a5"/>
        <w:spacing w:before="0" w:beforeAutospacing="0" w:after="0" w:afterAutospacing="0"/>
        <w:jc w:val="both"/>
        <w:rPr>
          <w:rFonts w:ascii="微软雅黑" w:eastAsia="微软雅黑" w:hAnsi="微软雅黑" w:hint="eastAsia"/>
          <w:color w:val="333333"/>
          <w:sz w:val="21"/>
          <w:szCs w:val="21"/>
        </w:rPr>
      </w:pPr>
      <w:r>
        <w:rPr>
          <w:rStyle w:val="a6"/>
          <w:rFonts w:ascii="微软雅黑" w:eastAsia="微软雅黑" w:hAnsi="微软雅黑" w:hint="eastAsia"/>
          <w:color w:val="333333"/>
          <w:sz w:val="21"/>
          <w:szCs w:val="21"/>
        </w:rPr>
        <w:t>白糖跨期套利：</w:t>
      </w:r>
    </w:p>
    <w:p w:rsidR="00A20EDB" w:rsidRDefault="00A20EDB" w:rsidP="00A20EDB">
      <w:pPr>
        <w:pStyle w:val="a5"/>
        <w:spacing w:before="0" w:beforeAutospacing="0" w:after="0" w:afterAutospacing="0"/>
        <w:jc w:val="center"/>
        <w:rPr>
          <w:rFonts w:ascii="微软雅黑" w:eastAsia="微软雅黑" w:hAnsi="微软雅黑" w:hint="eastAsia"/>
          <w:color w:val="333333"/>
          <w:sz w:val="21"/>
          <w:szCs w:val="21"/>
        </w:rPr>
      </w:pPr>
      <w:r>
        <w:rPr>
          <w:rFonts w:ascii="微软雅黑" w:eastAsia="微软雅黑" w:hAnsi="微软雅黑"/>
          <w:noProof/>
          <w:color w:val="333333"/>
          <w:sz w:val="21"/>
          <w:szCs w:val="21"/>
        </w:rPr>
        <w:lastRenderedPageBreak/>
        <w:drawing>
          <wp:inline distT="0" distB="0" distL="0" distR="0">
            <wp:extent cx="5080635" cy="2854325"/>
            <wp:effectExtent l="19050" t="0" r="5715" b="0"/>
            <wp:docPr id="2" name="图片 2" descr="https://mmbiz.qpic.cn/mmbiz_jpg/LBX4T1S9UVF3Cy6CduakiaQ1TXrDEbQfSxpzePEuialLicbokIxRcnqoO6x1Q6PrHMMicApy8ekmxtgcSppsQJuialQ/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jpg/LBX4T1S9UVF3Cy6CduakiaQ1TXrDEbQfSxpzePEuialLicbokIxRcnqoO6x1Q6PrHMMicApy8ekmxtgcSppsQJuialQ/640?wx_fmt=jpeg"/>
                    <pic:cNvPicPr>
                      <a:picLocks noChangeAspect="1" noChangeArrowheads="1"/>
                    </pic:cNvPicPr>
                  </pic:nvPicPr>
                  <pic:blipFill>
                    <a:blip r:embed="rId7" cstate="print"/>
                    <a:srcRect/>
                    <a:stretch>
                      <a:fillRect/>
                    </a:stretch>
                  </pic:blipFill>
                  <pic:spPr bwMode="auto">
                    <a:xfrm>
                      <a:off x="0" y="0"/>
                      <a:ext cx="5080635" cy="2854325"/>
                    </a:xfrm>
                    <a:prstGeom prst="rect">
                      <a:avLst/>
                    </a:prstGeom>
                    <a:noFill/>
                    <a:ln w="9525">
                      <a:noFill/>
                      <a:miter lim="800000"/>
                      <a:headEnd/>
                      <a:tailEnd/>
                    </a:ln>
                  </pic:spPr>
                </pic:pic>
              </a:graphicData>
            </a:graphic>
          </wp:inline>
        </w:drawing>
      </w:r>
    </w:p>
    <w:p w:rsidR="00A20EDB" w:rsidRDefault="00A20EDB" w:rsidP="00A20EDB">
      <w:pPr>
        <w:pStyle w:val="a5"/>
        <w:spacing w:before="0" w:beforeAutospacing="0" w:after="0" w:afterAutospacing="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白糖</w:t>
      </w:r>
      <w:proofErr w:type="gramStart"/>
      <w:r>
        <w:rPr>
          <w:rFonts w:ascii="微软雅黑" w:eastAsia="微软雅黑" w:hAnsi="微软雅黑" w:hint="eastAsia"/>
          <w:color w:val="333333"/>
          <w:sz w:val="21"/>
          <w:szCs w:val="21"/>
        </w:rPr>
        <w:t>91</w:t>
      </w:r>
      <w:proofErr w:type="gramEnd"/>
      <w:r>
        <w:rPr>
          <w:rFonts w:ascii="微软雅黑" w:eastAsia="微软雅黑" w:hAnsi="微软雅黑" w:hint="eastAsia"/>
          <w:color w:val="333333"/>
          <w:sz w:val="21"/>
          <w:szCs w:val="21"/>
        </w:rPr>
        <w:t>月的价差震荡加大，短期思路仍以卖开为主，长期看多远月合约思路不变，价差平水附近可尝试中长期进场。</w:t>
      </w:r>
    </w:p>
    <w:p w:rsidR="00A20EDB" w:rsidRDefault="00A20EDB" w:rsidP="00A20EDB">
      <w:pPr>
        <w:pStyle w:val="a5"/>
        <w:spacing w:before="0" w:beforeAutospacing="0" w:after="0" w:afterAutospacing="0"/>
        <w:jc w:val="both"/>
        <w:rPr>
          <w:rFonts w:ascii="微软雅黑" w:eastAsia="微软雅黑" w:hAnsi="微软雅黑" w:hint="eastAsia"/>
          <w:color w:val="333333"/>
          <w:sz w:val="21"/>
          <w:szCs w:val="21"/>
        </w:rPr>
      </w:pPr>
    </w:p>
    <w:p w:rsidR="00A20EDB" w:rsidRDefault="00A20EDB" w:rsidP="00A20EDB">
      <w:pPr>
        <w:pStyle w:val="a5"/>
        <w:spacing w:before="0" w:beforeAutospacing="0" w:after="0" w:afterAutospacing="0"/>
        <w:jc w:val="both"/>
        <w:rPr>
          <w:rFonts w:ascii="微软雅黑" w:eastAsia="微软雅黑" w:hAnsi="微软雅黑" w:hint="eastAsia"/>
          <w:color w:val="333333"/>
          <w:sz w:val="21"/>
          <w:szCs w:val="21"/>
        </w:rPr>
      </w:pPr>
      <w:r>
        <w:rPr>
          <w:rStyle w:val="a6"/>
          <w:rFonts w:ascii="微软雅黑" w:eastAsia="微软雅黑" w:hAnsi="微软雅黑" w:hint="eastAsia"/>
          <w:color w:val="333333"/>
          <w:sz w:val="21"/>
          <w:szCs w:val="21"/>
        </w:rPr>
        <w:t>棉花跨期套利：</w:t>
      </w:r>
    </w:p>
    <w:p w:rsidR="00A20EDB" w:rsidRDefault="00A20EDB" w:rsidP="00A20EDB">
      <w:pPr>
        <w:pStyle w:val="a5"/>
        <w:spacing w:before="0" w:beforeAutospacing="0" w:after="0" w:afterAutospacing="0"/>
        <w:jc w:val="center"/>
        <w:rPr>
          <w:rFonts w:ascii="微软雅黑" w:eastAsia="微软雅黑" w:hAnsi="微软雅黑" w:hint="eastAsia"/>
          <w:color w:val="333333"/>
          <w:sz w:val="21"/>
          <w:szCs w:val="21"/>
        </w:rPr>
      </w:pPr>
      <w:r>
        <w:rPr>
          <w:rFonts w:ascii="微软雅黑" w:eastAsia="微软雅黑" w:hAnsi="微软雅黑"/>
          <w:noProof/>
          <w:color w:val="333333"/>
          <w:sz w:val="21"/>
          <w:szCs w:val="21"/>
        </w:rPr>
        <w:drawing>
          <wp:inline distT="0" distB="0" distL="0" distR="0">
            <wp:extent cx="4763135" cy="3172460"/>
            <wp:effectExtent l="19050" t="0" r="0" b="0"/>
            <wp:docPr id="3" name="图片 3" descr="https://mmbiz.qpic.cn/mmbiz_jpg/LBX4T1S9UVF3Cy6CduakiaQ1TXrDEbQfSoz6w1ohmkJk1jOYHddRYCg3dXLbWAGEdNK9wyMN5ePc5PV9BO0qDiag/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biz.qpic.cn/mmbiz_jpg/LBX4T1S9UVF3Cy6CduakiaQ1TXrDEbQfSoz6w1ohmkJk1jOYHddRYCg3dXLbWAGEdNK9wyMN5ePc5PV9BO0qDiag/640?wx_fmt=jpeg"/>
                    <pic:cNvPicPr>
                      <a:picLocks noChangeAspect="1" noChangeArrowheads="1"/>
                    </pic:cNvPicPr>
                  </pic:nvPicPr>
                  <pic:blipFill>
                    <a:blip r:embed="rId8" cstate="print"/>
                    <a:srcRect/>
                    <a:stretch>
                      <a:fillRect/>
                    </a:stretch>
                  </pic:blipFill>
                  <pic:spPr bwMode="auto">
                    <a:xfrm>
                      <a:off x="0" y="0"/>
                      <a:ext cx="4763135" cy="3172460"/>
                    </a:xfrm>
                    <a:prstGeom prst="rect">
                      <a:avLst/>
                    </a:prstGeom>
                    <a:noFill/>
                    <a:ln w="9525">
                      <a:noFill/>
                      <a:miter lim="800000"/>
                      <a:headEnd/>
                      <a:tailEnd/>
                    </a:ln>
                  </pic:spPr>
                </pic:pic>
              </a:graphicData>
            </a:graphic>
          </wp:inline>
        </w:drawing>
      </w:r>
    </w:p>
    <w:p w:rsidR="00A20EDB" w:rsidRDefault="00A20EDB" w:rsidP="00A20EDB">
      <w:pPr>
        <w:pStyle w:val="a5"/>
        <w:spacing w:before="0" w:beforeAutospacing="0" w:after="0" w:afterAutospacing="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棉花走势偏弱，价差盘中再次回到-500以上位置，短期棉花仍很难有起色，</w:t>
      </w:r>
      <w:proofErr w:type="gramStart"/>
      <w:r>
        <w:rPr>
          <w:rFonts w:ascii="微软雅黑" w:eastAsia="微软雅黑" w:hAnsi="微软雅黑" w:hint="eastAsia"/>
          <w:color w:val="333333"/>
          <w:sz w:val="21"/>
          <w:szCs w:val="21"/>
        </w:rPr>
        <w:t>91</w:t>
      </w:r>
      <w:proofErr w:type="gramEnd"/>
      <w:r>
        <w:rPr>
          <w:rFonts w:ascii="微软雅黑" w:eastAsia="微软雅黑" w:hAnsi="微软雅黑" w:hint="eastAsia"/>
          <w:color w:val="333333"/>
          <w:sz w:val="21"/>
          <w:szCs w:val="21"/>
        </w:rPr>
        <w:t>月价差的策略</w:t>
      </w:r>
      <w:proofErr w:type="gramStart"/>
      <w:r>
        <w:rPr>
          <w:rFonts w:ascii="微软雅黑" w:eastAsia="微软雅黑" w:hAnsi="微软雅黑" w:hint="eastAsia"/>
          <w:color w:val="333333"/>
          <w:sz w:val="21"/>
          <w:szCs w:val="21"/>
        </w:rPr>
        <w:t>仍是卖</w:t>
      </w:r>
      <w:proofErr w:type="gramEnd"/>
      <w:r>
        <w:rPr>
          <w:rFonts w:ascii="微软雅黑" w:eastAsia="微软雅黑" w:hAnsi="微软雅黑" w:hint="eastAsia"/>
          <w:color w:val="333333"/>
          <w:sz w:val="21"/>
          <w:szCs w:val="21"/>
        </w:rPr>
        <w:t>9买1，盘中-500以上位置可尝试进场，但眼前的贸易战是最大的不确定性，所以参与尽量轻仓。</w:t>
      </w:r>
    </w:p>
    <w:p w:rsidR="00A20EDB" w:rsidRDefault="00A20EDB" w:rsidP="00A20EDB">
      <w:pPr>
        <w:pStyle w:val="a5"/>
        <w:spacing w:before="0" w:beforeAutospacing="0" w:after="0" w:afterAutospacing="0"/>
        <w:jc w:val="both"/>
        <w:rPr>
          <w:rFonts w:ascii="微软雅黑" w:eastAsia="微软雅黑" w:hAnsi="微软雅黑" w:hint="eastAsia"/>
          <w:color w:val="333333"/>
          <w:sz w:val="21"/>
          <w:szCs w:val="21"/>
        </w:rPr>
      </w:pPr>
    </w:p>
    <w:p w:rsidR="00A20EDB" w:rsidRDefault="00A20EDB" w:rsidP="00A20EDB">
      <w:pPr>
        <w:pStyle w:val="a5"/>
        <w:spacing w:before="0" w:beforeAutospacing="0" w:after="0" w:afterAutospacing="0"/>
        <w:jc w:val="both"/>
        <w:rPr>
          <w:rFonts w:ascii="微软雅黑" w:eastAsia="微软雅黑" w:hAnsi="微软雅黑" w:hint="eastAsia"/>
          <w:color w:val="333333"/>
          <w:sz w:val="21"/>
          <w:szCs w:val="21"/>
        </w:rPr>
      </w:pPr>
      <w:r>
        <w:rPr>
          <w:rStyle w:val="a6"/>
          <w:rFonts w:ascii="微软雅黑" w:eastAsia="微软雅黑" w:hAnsi="微软雅黑" w:hint="eastAsia"/>
          <w:color w:val="333333"/>
          <w:sz w:val="21"/>
          <w:szCs w:val="21"/>
        </w:rPr>
        <w:t>豆油&amp;棕榈油</w:t>
      </w:r>
      <w:proofErr w:type="gramStart"/>
      <w:r>
        <w:rPr>
          <w:rStyle w:val="a6"/>
          <w:rFonts w:ascii="微软雅黑" w:eastAsia="微软雅黑" w:hAnsi="微软雅黑" w:hint="eastAsia"/>
          <w:color w:val="333333"/>
          <w:sz w:val="21"/>
          <w:szCs w:val="21"/>
        </w:rPr>
        <w:t>跨品种</w:t>
      </w:r>
      <w:proofErr w:type="gramEnd"/>
      <w:r>
        <w:rPr>
          <w:rStyle w:val="a6"/>
          <w:rFonts w:ascii="微软雅黑" w:eastAsia="微软雅黑" w:hAnsi="微软雅黑" w:hint="eastAsia"/>
          <w:color w:val="333333"/>
          <w:sz w:val="21"/>
          <w:szCs w:val="21"/>
        </w:rPr>
        <w:t>套利：</w:t>
      </w:r>
    </w:p>
    <w:p w:rsidR="00A20EDB" w:rsidRDefault="00A20EDB" w:rsidP="00A20EDB">
      <w:pPr>
        <w:pStyle w:val="a5"/>
        <w:spacing w:before="0" w:beforeAutospacing="0" w:after="0" w:afterAutospacing="0"/>
        <w:jc w:val="center"/>
        <w:rPr>
          <w:rFonts w:ascii="微软雅黑" w:eastAsia="微软雅黑" w:hAnsi="微软雅黑" w:hint="eastAsia"/>
          <w:color w:val="333333"/>
          <w:sz w:val="21"/>
          <w:szCs w:val="21"/>
        </w:rPr>
      </w:pPr>
      <w:r>
        <w:rPr>
          <w:rFonts w:ascii="微软雅黑" w:eastAsia="微软雅黑" w:hAnsi="微软雅黑"/>
          <w:noProof/>
          <w:color w:val="333333"/>
          <w:sz w:val="21"/>
          <w:szCs w:val="21"/>
        </w:rPr>
        <w:drawing>
          <wp:inline distT="0" distB="0" distL="0" distR="0">
            <wp:extent cx="5263515" cy="2854325"/>
            <wp:effectExtent l="19050" t="0" r="0" b="0"/>
            <wp:docPr id="4" name="图片 4" descr="https://mmbiz.qpic.cn/mmbiz_jpg/LBX4T1S9UVF3Cy6CduakiaQ1TXrDEbQfS0RWhqLgDw6GrJ8TyAvFsRGczzVJVKEcWN9HM9ZwxibyXS0etXxbwAJQ/640?wx_fm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biz.qpic.cn/mmbiz_jpg/LBX4T1S9UVF3Cy6CduakiaQ1TXrDEbQfS0RWhqLgDw6GrJ8TyAvFsRGczzVJVKEcWN9HM9ZwxibyXS0etXxbwAJQ/640?wx_fmt=jpeg"/>
                    <pic:cNvPicPr>
                      <a:picLocks noChangeAspect="1" noChangeArrowheads="1"/>
                    </pic:cNvPicPr>
                  </pic:nvPicPr>
                  <pic:blipFill>
                    <a:blip r:embed="rId9" cstate="print"/>
                    <a:srcRect/>
                    <a:stretch>
                      <a:fillRect/>
                    </a:stretch>
                  </pic:blipFill>
                  <pic:spPr bwMode="auto">
                    <a:xfrm>
                      <a:off x="0" y="0"/>
                      <a:ext cx="5263515" cy="2854325"/>
                    </a:xfrm>
                    <a:prstGeom prst="rect">
                      <a:avLst/>
                    </a:prstGeom>
                    <a:noFill/>
                    <a:ln w="9525">
                      <a:noFill/>
                      <a:miter lim="800000"/>
                      <a:headEnd/>
                      <a:tailEnd/>
                    </a:ln>
                  </pic:spPr>
                </pic:pic>
              </a:graphicData>
            </a:graphic>
          </wp:inline>
        </w:drawing>
      </w:r>
    </w:p>
    <w:p w:rsidR="00A20EDB" w:rsidRDefault="00A20EDB" w:rsidP="00A20EDB">
      <w:pPr>
        <w:pStyle w:val="a5"/>
        <w:spacing w:before="0" w:beforeAutospacing="0" w:after="0" w:afterAutospacing="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豆棕价差9月合约上周反弹至1000附近，总体思路保持不变，即棕榈油进入增产周期，豆棕价差大方向看扩大，但当前而言，中美贸易谈判以及东南亚会否出现厄尔尼诺气候都是对价差影响较大的重要因素。</w:t>
      </w:r>
    </w:p>
    <w:p w:rsidR="00A20EDB" w:rsidRDefault="00A20EDB" w:rsidP="00A20EDB">
      <w:pPr>
        <w:pStyle w:val="a5"/>
        <w:spacing w:before="125" w:beforeAutospacing="0" w:after="0" w:afterAutospacing="0"/>
        <w:jc w:val="both"/>
        <w:rPr>
          <w:rFonts w:ascii="微软雅黑" w:eastAsia="微软雅黑" w:hAnsi="微软雅黑" w:hint="eastAsia"/>
          <w:color w:val="333333"/>
          <w:sz w:val="21"/>
          <w:szCs w:val="21"/>
        </w:rPr>
      </w:pPr>
      <w:r>
        <w:rPr>
          <w:rFonts w:ascii="微软雅黑" w:eastAsia="微软雅黑" w:hAnsi="微软雅黑" w:hint="eastAsia"/>
          <w:color w:val="333333"/>
          <w:sz w:val="21"/>
          <w:szCs w:val="21"/>
        </w:rPr>
        <w:t>结合当前的价差来看，我们认为当前行情进场</w:t>
      </w:r>
      <w:proofErr w:type="gramStart"/>
      <w:r>
        <w:rPr>
          <w:rFonts w:ascii="微软雅黑" w:eastAsia="微软雅黑" w:hAnsi="微软雅黑" w:hint="eastAsia"/>
          <w:color w:val="333333"/>
          <w:sz w:val="21"/>
          <w:szCs w:val="21"/>
        </w:rPr>
        <w:t>做豆棕扩大</w:t>
      </w:r>
      <w:proofErr w:type="gramEnd"/>
      <w:r>
        <w:rPr>
          <w:rFonts w:ascii="微软雅黑" w:eastAsia="微软雅黑" w:hAnsi="微软雅黑" w:hint="eastAsia"/>
          <w:color w:val="333333"/>
          <w:sz w:val="21"/>
          <w:szCs w:val="21"/>
        </w:rPr>
        <w:t>性价比相对较低，且要面临较大回撤风险，因此操作方面建议观望为主，若短期内价差出现大幅回撤，处于相对安全的区间时，或贸易谈判取得阶段性结果后，再考虑进场操作。</w:t>
      </w:r>
    </w:p>
    <w:p w:rsidR="00A20EDB" w:rsidRDefault="00A20EDB" w:rsidP="00A20EDB">
      <w:pPr>
        <w:pStyle w:val="a5"/>
        <w:spacing w:before="0" w:beforeAutospacing="0" w:after="0" w:afterAutospacing="0"/>
        <w:jc w:val="both"/>
        <w:rPr>
          <w:rFonts w:ascii="微软雅黑" w:eastAsia="微软雅黑" w:hAnsi="微软雅黑" w:hint="eastAsia"/>
          <w:color w:val="333333"/>
          <w:sz w:val="21"/>
          <w:szCs w:val="21"/>
        </w:rPr>
      </w:pPr>
    </w:p>
    <w:p w:rsidR="00A20EDB" w:rsidRDefault="00A20EDB" w:rsidP="00A20EDB">
      <w:pPr>
        <w:pStyle w:val="a5"/>
        <w:spacing w:before="0" w:beforeAutospacing="0" w:after="0" w:afterAutospacing="0"/>
        <w:jc w:val="both"/>
        <w:rPr>
          <w:rFonts w:ascii="微软雅黑" w:eastAsia="微软雅黑" w:hAnsi="微软雅黑" w:hint="eastAsia"/>
          <w:color w:val="333333"/>
          <w:sz w:val="21"/>
          <w:szCs w:val="21"/>
        </w:rPr>
      </w:pPr>
    </w:p>
    <w:p w:rsidR="00A20EDB" w:rsidRDefault="00A20EDB" w:rsidP="00A20EDB">
      <w:pPr>
        <w:pStyle w:val="a5"/>
        <w:spacing w:before="0" w:beforeAutospacing="0" w:after="0" w:afterAutospacing="0"/>
        <w:jc w:val="both"/>
        <w:rPr>
          <w:rFonts w:ascii="微软雅黑" w:eastAsia="微软雅黑" w:hAnsi="微软雅黑" w:hint="eastAsia"/>
          <w:color w:val="333333"/>
          <w:sz w:val="21"/>
          <w:szCs w:val="21"/>
        </w:rPr>
      </w:pPr>
      <w:r>
        <w:rPr>
          <w:rStyle w:val="a6"/>
          <w:rFonts w:ascii="微软雅黑" w:eastAsia="微软雅黑" w:hAnsi="微软雅黑" w:hint="eastAsia"/>
          <w:color w:val="333333"/>
          <w:sz w:val="19"/>
          <w:szCs w:val="19"/>
        </w:rPr>
        <w:lastRenderedPageBreak/>
        <w:t>免责声明：本研究报告由金</w:t>
      </w:r>
      <w:proofErr w:type="gramStart"/>
      <w:r>
        <w:rPr>
          <w:rStyle w:val="a6"/>
          <w:rFonts w:ascii="微软雅黑" w:eastAsia="微软雅黑" w:hAnsi="微软雅黑" w:hint="eastAsia"/>
          <w:color w:val="333333"/>
          <w:sz w:val="19"/>
          <w:szCs w:val="19"/>
        </w:rPr>
        <w:t>鹏经济</w:t>
      </w:r>
      <w:proofErr w:type="gramEnd"/>
      <w:r>
        <w:rPr>
          <w:rStyle w:val="a6"/>
          <w:rFonts w:ascii="微软雅黑" w:eastAsia="微软雅黑" w:hAnsi="微软雅黑" w:hint="eastAsia"/>
          <w:color w:val="333333"/>
          <w:sz w:val="19"/>
          <w:szCs w:val="19"/>
        </w:rPr>
        <w:t>研究所提供，其中观点仅代表分析师个人观点，出现的价位及操作建议仅体现分析师个人分析思路，分析师力求报告内容所述信息的可靠、准确及完整，但不保证报告所述信息及结论的准确性。本报告所提出的观点、结论和建议仅供投资者参考，不能当然作为投资研究决策的依据，也不能成为本公司承担明示或暗示的道义或法律责任的依据。 </w:t>
      </w:r>
    </w:p>
    <w:p w:rsidR="00A20EDB" w:rsidRDefault="00A20EDB" w:rsidP="00A20EDB">
      <w:pPr>
        <w:pStyle w:val="a5"/>
        <w:spacing w:before="0" w:beforeAutospacing="0" w:after="0" w:afterAutospacing="0"/>
        <w:rPr>
          <w:rFonts w:ascii="微软雅黑" w:eastAsia="微软雅黑" w:hAnsi="微软雅黑" w:hint="eastAsia"/>
          <w:color w:val="333333"/>
          <w:sz w:val="21"/>
          <w:szCs w:val="21"/>
        </w:rPr>
      </w:pPr>
    </w:p>
    <w:p w:rsidR="00AC3989" w:rsidRPr="00A20EDB" w:rsidRDefault="00AC3989"/>
    <w:sectPr w:rsidR="00AC3989" w:rsidRPr="00A20EDB" w:rsidSect="00AC39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1F2" w:rsidRDefault="00B151F2" w:rsidP="00A20EDB">
      <w:r>
        <w:separator/>
      </w:r>
    </w:p>
  </w:endnote>
  <w:endnote w:type="continuationSeparator" w:id="0">
    <w:p w:rsidR="00B151F2" w:rsidRDefault="00B151F2" w:rsidP="00A20E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1F2" w:rsidRDefault="00B151F2" w:rsidP="00A20EDB">
      <w:r>
        <w:separator/>
      </w:r>
    </w:p>
  </w:footnote>
  <w:footnote w:type="continuationSeparator" w:id="0">
    <w:p w:rsidR="00B151F2" w:rsidRDefault="00B151F2" w:rsidP="00A20E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0EDB"/>
    <w:rsid w:val="00A20EDB"/>
    <w:rsid w:val="00AC3989"/>
    <w:rsid w:val="00B151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0E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0EDB"/>
    <w:rPr>
      <w:sz w:val="18"/>
      <w:szCs w:val="18"/>
    </w:rPr>
  </w:style>
  <w:style w:type="paragraph" w:styleId="a4">
    <w:name w:val="footer"/>
    <w:basedOn w:val="a"/>
    <w:link w:val="Char0"/>
    <w:uiPriority w:val="99"/>
    <w:semiHidden/>
    <w:unhideWhenUsed/>
    <w:rsid w:val="00A20E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0EDB"/>
    <w:rPr>
      <w:sz w:val="18"/>
      <w:szCs w:val="18"/>
    </w:rPr>
  </w:style>
  <w:style w:type="paragraph" w:styleId="a5">
    <w:name w:val="Normal (Web)"/>
    <w:basedOn w:val="a"/>
    <w:uiPriority w:val="99"/>
    <w:semiHidden/>
    <w:unhideWhenUsed/>
    <w:rsid w:val="00A20ED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20EDB"/>
    <w:rPr>
      <w:b/>
      <w:bCs/>
    </w:rPr>
  </w:style>
  <w:style w:type="paragraph" w:styleId="a7">
    <w:name w:val="Balloon Text"/>
    <w:basedOn w:val="a"/>
    <w:link w:val="Char1"/>
    <w:uiPriority w:val="99"/>
    <w:semiHidden/>
    <w:unhideWhenUsed/>
    <w:rsid w:val="00A20EDB"/>
    <w:rPr>
      <w:sz w:val="18"/>
      <w:szCs w:val="18"/>
    </w:rPr>
  </w:style>
  <w:style w:type="character" w:customStyle="1" w:styleId="Char1">
    <w:name w:val="批注框文本 Char"/>
    <w:basedOn w:val="a0"/>
    <w:link w:val="a7"/>
    <w:uiPriority w:val="99"/>
    <w:semiHidden/>
    <w:rsid w:val="00A20EDB"/>
    <w:rPr>
      <w:sz w:val="18"/>
      <w:szCs w:val="18"/>
    </w:rPr>
  </w:style>
</w:styles>
</file>

<file path=word/webSettings.xml><?xml version="1.0" encoding="utf-8"?>
<w:webSettings xmlns:r="http://schemas.openxmlformats.org/officeDocument/2006/relationships" xmlns:w="http://schemas.openxmlformats.org/wordprocessingml/2006/main">
  <w:divs>
    <w:div w:id="14612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Words>
  <Characters>574</Characters>
  <Application>Microsoft Office Word</Application>
  <DocSecurity>0</DocSecurity>
  <Lines>4</Lines>
  <Paragraphs>1</Paragraphs>
  <ScaleCrop>false</ScaleCrop>
  <Company>IT</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2</cp:revision>
  <dcterms:created xsi:type="dcterms:W3CDTF">2019-05-20T07:00:00Z</dcterms:created>
  <dcterms:modified xsi:type="dcterms:W3CDTF">2019-05-20T07:01:00Z</dcterms:modified>
</cp:coreProperties>
</file>