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CF" w:rsidRDefault="005940CF" w:rsidP="005940CF">
      <w:pPr>
        <w:pStyle w:val="a5"/>
        <w:spacing w:before="0" w:beforeAutospacing="0" w:after="0" w:afterAutospacing="0"/>
        <w:jc w:val="center"/>
        <w:rPr>
          <w:rFonts w:ascii="微软雅黑" w:eastAsia="微软雅黑" w:hAnsi="微软雅黑"/>
          <w:color w:val="333333"/>
          <w:sz w:val="21"/>
          <w:szCs w:val="21"/>
        </w:rPr>
      </w:pPr>
      <w:r>
        <w:rPr>
          <w:rStyle w:val="a6"/>
          <w:rFonts w:ascii="微软雅黑" w:eastAsia="微软雅黑" w:hAnsi="微软雅黑" w:hint="eastAsia"/>
          <w:color w:val="FF4C00"/>
          <w:sz w:val="23"/>
          <w:szCs w:val="23"/>
        </w:rPr>
        <w:t>商品期货套利机会跟踪</w:t>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000000"/>
          <w:sz w:val="21"/>
          <w:szCs w:val="21"/>
        </w:rPr>
        <w:t>玉米跨期套利：</w:t>
      </w:r>
    </w:p>
    <w:p w:rsidR="005940CF" w:rsidRDefault="005940CF" w:rsidP="005940CF">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extent cx="4278796" cy="2615979"/>
            <wp:effectExtent l="19050" t="0" r="7454" b="0"/>
            <wp:docPr id="1" name="图片 1" descr="https://mmbiz.qpic.cn/mmbiz_jpg/LBX4T1S9UVFzy7ic8VYjlibiaKL7wEMF12zZQCcREBiblRxkibwp9QhRd7dTPCQvD8wfEX8spjJ5Yz1ZSoa9N4VXZP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jpg/LBX4T1S9UVFzy7ic8VYjlibiaKL7wEMF12zZQCcREBiblRxkibwp9QhRd7dTPCQvD8wfEX8spjJ5Yz1ZSoa9N4VXZPw/640?wx_fmt=jpeg"/>
                    <pic:cNvPicPr>
                      <a:picLocks noChangeAspect="1" noChangeArrowheads="1"/>
                    </pic:cNvPicPr>
                  </pic:nvPicPr>
                  <pic:blipFill>
                    <a:blip r:embed="rId6" cstate="print"/>
                    <a:srcRect/>
                    <a:stretch>
                      <a:fillRect/>
                    </a:stretch>
                  </pic:blipFill>
                  <pic:spPr bwMode="auto">
                    <a:xfrm>
                      <a:off x="0" y="0"/>
                      <a:ext cx="4285615" cy="2620148"/>
                    </a:xfrm>
                    <a:prstGeom prst="rect">
                      <a:avLst/>
                    </a:prstGeom>
                    <a:noFill/>
                    <a:ln w="9525">
                      <a:noFill/>
                      <a:miter lim="800000"/>
                      <a:headEnd/>
                      <a:tailEnd/>
                    </a:ln>
                  </pic:spPr>
                </pic:pic>
              </a:graphicData>
            </a:graphic>
          </wp:inline>
        </w:drawing>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玉米近期价格走势主要影响仍是围绕抛储情况，上周玉米下调幅度比较大，短期有可能震荡加剧，</w:t>
      </w: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月玉米价差再次来到-70附近，短期这价差位置尽量短线参与，中长期等待重新进场机会。</w:t>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白糖跨期套利：</w:t>
      </w:r>
    </w:p>
    <w:p w:rsidR="005940CF" w:rsidRDefault="005940CF" w:rsidP="005940CF">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extent cx="4195141" cy="2536466"/>
            <wp:effectExtent l="19050" t="0" r="0" b="0"/>
            <wp:docPr id="2" name="图片 2" descr="https://mmbiz.qpic.cn/mmbiz_jpg/LBX4T1S9UVFzy7ic8VYjlibiaKL7wEMF12z2qIqHa4H0ibtNUXlSk6icKrIAjicfWeDUSJuLVdtNggW9Mx5qmWyZRIN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LBX4T1S9UVFzy7ic8VYjlibiaKL7wEMF12z2qIqHa4H0ibtNUXlSk6icKrIAjicfWeDUSJuLVdtNggW9Mx5qmWyZRINQ/640?wx_fmt=jpeg"/>
                    <pic:cNvPicPr>
                      <a:picLocks noChangeAspect="1" noChangeArrowheads="1"/>
                    </pic:cNvPicPr>
                  </pic:nvPicPr>
                  <pic:blipFill>
                    <a:blip r:embed="rId7" cstate="print"/>
                    <a:srcRect/>
                    <a:stretch>
                      <a:fillRect/>
                    </a:stretch>
                  </pic:blipFill>
                  <pic:spPr bwMode="auto">
                    <a:xfrm>
                      <a:off x="0" y="0"/>
                      <a:ext cx="4195423" cy="2536637"/>
                    </a:xfrm>
                    <a:prstGeom prst="rect">
                      <a:avLst/>
                    </a:prstGeom>
                    <a:noFill/>
                    <a:ln w="9525">
                      <a:noFill/>
                      <a:miter lim="800000"/>
                      <a:headEnd/>
                      <a:tailEnd/>
                    </a:ln>
                  </pic:spPr>
                </pic:pic>
              </a:graphicData>
            </a:graphic>
          </wp:inline>
        </w:drawing>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白糖</w:t>
      </w: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月的价差再次回到0点以下，震荡幅度加大，白糖基本面上看并没有太大的改变，主要因为近期可能对白糖进口政策进行调整影响，远月开始大幅下跌使得远月贴水很多，</w:t>
      </w: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月毕竟不是同</w:t>
      </w:r>
      <w:proofErr w:type="gramStart"/>
      <w:r>
        <w:rPr>
          <w:rFonts w:ascii="微软雅黑" w:eastAsia="微软雅黑" w:hAnsi="微软雅黑" w:hint="eastAsia"/>
          <w:color w:val="333333"/>
          <w:sz w:val="21"/>
          <w:szCs w:val="21"/>
        </w:rPr>
        <w:t>一</w:t>
      </w:r>
      <w:proofErr w:type="gramEnd"/>
      <w:r>
        <w:rPr>
          <w:rFonts w:ascii="微软雅黑" w:eastAsia="微软雅黑" w:hAnsi="微软雅黑" w:hint="eastAsia"/>
          <w:color w:val="333333"/>
          <w:sz w:val="21"/>
          <w:szCs w:val="21"/>
        </w:rPr>
        <w:t>年度合约，近期不再参与</w:t>
      </w: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月合约价差，更远月</w:t>
      </w:r>
      <w:proofErr w:type="gramStart"/>
      <w:r>
        <w:rPr>
          <w:rFonts w:ascii="微软雅黑" w:eastAsia="微软雅黑" w:hAnsi="微软雅黑" w:hint="eastAsia"/>
          <w:color w:val="333333"/>
          <w:sz w:val="21"/>
          <w:szCs w:val="21"/>
        </w:rPr>
        <w:t>15</w:t>
      </w:r>
      <w:proofErr w:type="gramEnd"/>
      <w:r>
        <w:rPr>
          <w:rFonts w:ascii="微软雅黑" w:eastAsia="微软雅黑" w:hAnsi="微软雅黑" w:hint="eastAsia"/>
          <w:color w:val="333333"/>
          <w:sz w:val="21"/>
          <w:szCs w:val="21"/>
        </w:rPr>
        <w:t>月作为同</w:t>
      </w:r>
      <w:proofErr w:type="gramStart"/>
      <w:r>
        <w:rPr>
          <w:rFonts w:ascii="微软雅黑" w:eastAsia="微软雅黑" w:hAnsi="微软雅黑" w:hint="eastAsia"/>
          <w:color w:val="333333"/>
          <w:sz w:val="21"/>
          <w:szCs w:val="21"/>
        </w:rPr>
        <w:t>一</w:t>
      </w:r>
      <w:proofErr w:type="gramEnd"/>
      <w:r>
        <w:rPr>
          <w:rFonts w:ascii="微软雅黑" w:eastAsia="微软雅黑" w:hAnsi="微软雅黑" w:hint="eastAsia"/>
          <w:color w:val="333333"/>
          <w:sz w:val="21"/>
          <w:szCs w:val="21"/>
        </w:rPr>
        <w:t>年度合约短期造成的巨大价差可能会随着时间修复一部分，积极的投资者可以尝试150以上卖开，稳进投资者等待行情稳定后再操作。</w:t>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棉花跨期套利：</w:t>
      </w:r>
    </w:p>
    <w:p w:rsidR="005940CF" w:rsidRDefault="005940CF" w:rsidP="005940CF">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extent cx="4759684" cy="3347499"/>
            <wp:effectExtent l="19050" t="0" r="2816" b="0"/>
            <wp:docPr id="3" name="图片 3" descr="https://mmbiz.qpic.cn/mmbiz_jpg/LBX4T1S9UVFzy7ic8VYjlibiaKL7wEMF12ziawjPG6aaojziavj5Fpf37TCHmCavKBiczh7nCguOxc7CL1eumD6d29pg/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LBX4T1S9UVFzy7ic8VYjlibiaKL7wEMF12ziawjPG6aaojziavj5Fpf37TCHmCavKBiczh7nCguOxc7CL1eumD6d29pg/640?wx_fmt=jpeg"/>
                    <pic:cNvPicPr>
                      <a:picLocks noChangeAspect="1" noChangeArrowheads="1"/>
                    </pic:cNvPicPr>
                  </pic:nvPicPr>
                  <pic:blipFill>
                    <a:blip r:embed="rId8" cstate="print"/>
                    <a:srcRect/>
                    <a:stretch>
                      <a:fillRect/>
                    </a:stretch>
                  </pic:blipFill>
                  <pic:spPr bwMode="auto">
                    <a:xfrm>
                      <a:off x="0" y="0"/>
                      <a:ext cx="4763135" cy="3349926"/>
                    </a:xfrm>
                    <a:prstGeom prst="rect">
                      <a:avLst/>
                    </a:prstGeom>
                    <a:noFill/>
                    <a:ln w="9525">
                      <a:noFill/>
                      <a:miter lim="800000"/>
                      <a:headEnd/>
                      <a:tailEnd/>
                    </a:ln>
                  </pic:spPr>
                </pic:pic>
              </a:graphicData>
            </a:graphic>
          </wp:inline>
        </w:drawing>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棉花走势偏弱，价差盘中再次回到-500以上位置，短期棉花仍很难有起色， </w:t>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月价差方面-500左右的位置不再进行参与，等待价差出现发现后再考虑重新进场的机会，随着价格的下跌，短期更偏向于-500以下位置买开，短线可以尝试。</w:t>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豆油&amp;棕榈油</w:t>
      </w:r>
      <w:proofErr w:type="gramStart"/>
      <w:r>
        <w:rPr>
          <w:rStyle w:val="a6"/>
          <w:rFonts w:ascii="微软雅黑" w:eastAsia="微软雅黑" w:hAnsi="微软雅黑" w:hint="eastAsia"/>
          <w:color w:val="333333"/>
          <w:sz w:val="21"/>
          <w:szCs w:val="21"/>
        </w:rPr>
        <w:t>跨品种</w:t>
      </w:r>
      <w:proofErr w:type="gramEnd"/>
      <w:r>
        <w:rPr>
          <w:rStyle w:val="a6"/>
          <w:rFonts w:ascii="微软雅黑" w:eastAsia="微软雅黑" w:hAnsi="微软雅黑" w:hint="eastAsia"/>
          <w:color w:val="333333"/>
          <w:sz w:val="21"/>
          <w:szCs w:val="21"/>
        </w:rPr>
        <w:t>套利：</w:t>
      </w:r>
    </w:p>
    <w:p w:rsidR="005940CF" w:rsidRDefault="005940CF" w:rsidP="005940CF">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lastRenderedPageBreak/>
        <w:drawing>
          <wp:inline distT="0" distB="0" distL="0" distR="0">
            <wp:extent cx="4707255" cy="2663825"/>
            <wp:effectExtent l="19050" t="0" r="0" b="0"/>
            <wp:docPr id="4" name="图片 4" descr="https://mmbiz.qpic.cn/mmbiz_jpg/LBX4T1S9UVFzy7ic8VYjlibiaKL7wEMF12zFc17ZLlKGic4jj0ia20ic71gWdOCUKdDWtflE8wXHtj4MA5dzcVib59Pf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jpg/LBX4T1S9UVFzy7ic8VYjlibiaKL7wEMF12zFc17ZLlKGic4jj0ia20ic71gWdOCUKdDWtflE8wXHtj4MA5dzcVib59PfA/640?wx_fmt=jpeg"/>
                    <pic:cNvPicPr>
                      <a:picLocks noChangeAspect="1" noChangeArrowheads="1"/>
                    </pic:cNvPicPr>
                  </pic:nvPicPr>
                  <pic:blipFill>
                    <a:blip r:embed="rId9" cstate="print"/>
                    <a:srcRect/>
                    <a:stretch>
                      <a:fillRect/>
                    </a:stretch>
                  </pic:blipFill>
                  <pic:spPr bwMode="auto">
                    <a:xfrm>
                      <a:off x="0" y="0"/>
                      <a:ext cx="4707255" cy="2663825"/>
                    </a:xfrm>
                    <a:prstGeom prst="rect">
                      <a:avLst/>
                    </a:prstGeom>
                    <a:noFill/>
                    <a:ln w="9525">
                      <a:noFill/>
                      <a:miter lim="800000"/>
                      <a:headEnd/>
                      <a:tailEnd/>
                    </a:ln>
                  </pic:spPr>
                </pic:pic>
              </a:graphicData>
            </a:graphic>
          </wp:inline>
        </w:drawing>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豆棕价差观点与此前保持一致，9月合约价差波动区间略有上移。</w:t>
      </w:r>
      <w:proofErr w:type="gramStart"/>
      <w:r>
        <w:rPr>
          <w:rFonts w:ascii="微软雅黑" w:eastAsia="微软雅黑" w:hAnsi="微软雅黑" w:hint="eastAsia"/>
          <w:color w:val="333333"/>
          <w:sz w:val="21"/>
          <w:szCs w:val="21"/>
        </w:rPr>
        <w:t>当前豆棕</w:t>
      </w:r>
      <w:proofErr w:type="gramEnd"/>
      <w:r>
        <w:rPr>
          <w:rFonts w:ascii="微软雅黑" w:eastAsia="微软雅黑" w:hAnsi="微软雅黑" w:hint="eastAsia"/>
          <w:color w:val="333333"/>
          <w:sz w:val="21"/>
          <w:szCs w:val="21"/>
        </w:rPr>
        <w:t>两油基本面强弱关系分化并不明显，且当前盘面价差不算极端，因此，当前来看豆棕价差缺乏趋势性方向指引且操作层面的风险收益比并不合适，建议长线单观望为主。</w:t>
      </w: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p>
    <w:p w:rsidR="005940CF" w:rsidRDefault="005940CF" w:rsidP="005940CF">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19"/>
          <w:szCs w:val="19"/>
        </w:rPr>
        <w:t>免责声明：本研究报告由金</w:t>
      </w:r>
      <w:proofErr w:type="gramStart"/>
      <w:r>
        <w:rPr>
          <w:rStyle w:val="a6"/>
          <w:rFonts w:ascii="微软雅黑" w:eastAsia="微软雅黑" w:hAnsi="微软雅黑" w:hint="eastAsia"/>
          <w:color w:val="333333"/>
          <w:sz w:val="19"/>
          <w:szCs w:val="19"/>
        </w:rPr>
        <w:t>鹏经济</w:t>
      </w:r>
      <w:proofErr w:type="gramEnd"/>
      <w:r>
        <w:rPr>
          <w:rStyle w:val="a6"/>
          <w:rFonts w:ascii="微软雅黑" w:eastAsia="微软雅黑" w:hAnsi="微软雅黑" w:hint="eastAsia"/>
          <w:color w:val="333333"/>
          <w:sz w:val="19"/>
          <w:szCs w:val="19"/>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 </w:t>
      </w:r>
    </w:p>
    <w:p w:rsidR="005940CF" w:rsidRDefault="005940CF" w:rsidP="005940CF">
      <w:pPr>
        <w:pStyle w:val="a5"/>
        <w:spacing w:before="0" w:beforeAutospacing="0" w:after="0" w:afterAutospacing="0"/>
        <w:rPr>
          <w:rFonts w:ascii="微软雅黑" w:eastAsia="微软雅黑" w:hAnsi="微软雅黑" w:hint="eastAsia"/>
          <w:color w:val="333333"/>
          <w:sz w:val="21"/>
          <w:szCs w:val="21"/>
        </w:rPr>
      </w:pPr>
    </w:p>
    <w:p w:rsidR="00624AFB" w:rsidRPr="005940CF" w:rsidRDefault="00624AFB"/>
    <w:sectPr w:rsidR="00624AFB" w:rsidRPr="005940CF" w:rsidSect="00624A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9B" w:rsidRDefault="00F8629B" w:rsidP="005940CF">
      <w:r>
        <w:separator/>
      </w:r>
    </w:p>
  </w:endnote>
  <w:endnote w:type="continuationSeparator" w:id="0">
    <w:p w:rsidR="00F8629B" w:rsidRDefault="00F8629B" w:rsidP="00594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9B" w:rsidRDefault="00F8629B" w:rsidP="005940CF">
      <w:r>
        <w:separator/>
      </w:r>
    </w:p>
  </w:footnote>
  <w:footnote w:type="continuationSeparator" w:id="0">
    <w:p w:rsidR="00F8629B" w:rsidRDefault="00F8629B" w:rsidP="005940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CF"/>
    <w:rsid w:val="005940CF"/>
    <w:rsid w:val="00624AFB"/>
    <w:rsid w:val="00F86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4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40CF"/>
    <w:rPr>
      <w:sz w:val="18"/>
      <w:szCs w:val="18"/>
    </w:rPr>
  </w:style>
  <w:style w:type="paragraph" w:styleId="a4">
    <w:name w:val="footer"/>
    <w:basedOn w:val="a"/>
    <w:link w:val="Char0"/>
    <w:uiPriority w:val="99"/>
    <w:semiHidden/>
    <w:unhideWhenUsed/>
    <w:rsid w:val="005940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40CF"/>
    <w:rPr>
      <w:sz w:val="18"/>
      <w:szCs w:val="18"/>
    </w:rPr>
  </w:style>
  <w:style w:type="paragraph" w:styleId="a5">
    <w:name w:val="Normal (Web)"/>
    <w:basedOn w:val="a"/>
    <w:uiPriority w:val="99"/>
    <w:semiHidden/>
    <w:unhideWhenUsed/>
    <w:rsid w:val="005940C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40CF"/>
    <w:rPr>
      <w:b/>
      <w:bCs/>
    </w:rPr>
  </w:style>
  <w:style w:type="paragraph" w:styleId="a7">
    <w:name w:val="Balloon Text"/>
    <w:basedOn w:val="a"/>
    <w:link w:val="Char1"/>
    <w:uiPriority w:val="99"/>
    <w:semiHidden/>
    <w:unhideWhenUsed/>
    <w:rsid w:val="005940CF"/>
    <w:rPr>
      <w:sz w:val="18"/>
      <w:szCs w:val="18"/>
    </w:rPr>
  </w:style>
  <w:style w:type="character" w:customStyle="1" w:styleId="Char1">
    <w:name w:val="批注框文本 Char"/>
    <w:basedOn w:val="a0"/>
    <w:link w:val="a7"/>
    <w:uiPriority w:val="99"/>
    <w:semiHidden/>
    <w:rsid w:val="005940CF"/>
    <w:rPr>
      <w:sz w:val="18"/>
      <w:szCs w:val="18"/>
    </w:rPr>
  </w:style>
</w:styles>
</file>

<file path=word/webSettings.xml><?xml version="1.0" encoding="utf-8"?>
<w:webSettings xmlns:r="http://schemas.openxmlformats.org/officeDocument/2006/relationships" xmlns:w="http://schemas.openxmlformats.org/wordprocessingml/2006/main">
  <w:divs>
    <w:div w:id="17745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Words>
  <Characters>610</Characters>
  <Application>Microsoft Office Word</Application>
  <DocSecurity>0</DocSecurity>
  <Lines>5</Lines>
  <Paragraphs>1</Paragraphs>
  <ScaleCrop>false</ScaleCrop>
  <Company>IT</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2019-06-03T07:25:00Z</dcterms:created>
  <dcterms:modified xsi:type="dcterms:W3CDTF">2019-06-03T07:26:00Z</dcterms:modified>
</cp:coreProperties>
</file>