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16" w:rsidRDefault="00AB1416" w:rsidP="00AB141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19"/>
          <w:szCs w:val="19"/>
        </w:rPr>
      </w:pPr>
      <w:r>
        <w:rPr>
          <w:rStyle w:val="a6"/>
          <w:rFonts w:ascii="MS Gothic" w:eastAsia="MS Gothic" w:hAnsi="MS Gothic" w:cs="MS Gothic" w:hint="eastAsia"/>
          <w:color w:val="021EAA"/>
          <w:sz w:val="20"/>
          <w:szCs w:val="20"/>
        </w:rPr>
        <w:t>​</w:t>
      </w:r>
      <w:r>
        <w:rPr>
          <w:rStyle w:val="a6"/>
          <w:rFonts w:ascii="Microsoft YaHei UI" w:eastAsia="Microsoft YaHei UI" w:hAnsi="Microsoft YaHei UI" w:cs="Microsoft YaHei UI" w:hint="eastAsia"/>
          <w:color w:val="021EAA"/>
          <w:sz w:val="20"/>
          <w:szCs w:val="20"/>
        </w:rPr>
        <w:t>商品期货套利机会跟</w:t>
      </w:r>
      <w:r>
        <w:rPr>
          <w:rStyle w:val="a6"/>
          <w:rFonts w:ascii="Microsoft YaHei UI" w:eastAsia="Microsoft YaHei UI" w:hAnsi="Microsoft YaHei UI" w:hint="eastAsia"/>
          <w:color w:val="021EAA"/>
          <w:sz w:val="20"/>
          <w:szCs w:val="20"/>
        </w:rPr>
        <w:t>踪</w:t>
      </w:r>
    </w:p>
    <w:p w:rsidR="00AB1416" w:rsidRDefault="00AB1416" w:rsidP="00AB141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/>
          <w:noProof/>
          <w:color w:val="333333"/>
          <w:sz w:val="19"/>
          <w:szCs w:val="19"/>
        </w:rPr>
        <w:drawing>
          <wp:inline distT="0" distB="0" distL="0" distR="0">
            <wp:extent cx="4751705" cy="3657600"/>
            <wp:effectExtent l="19050" t="0" r="0" b="0"/>
            <wp:docPr id="1" name="图片 1" descr="https://mmbiz.qpic.cn/mmbiz_jpg/LBX4T1S9UVFokmguNr8y8SyqH5SoibiayUXEwJZFsQ4EVrMrE88UA9Wwp5hg9X7MydQQYMK2xyleJ720saQs1L5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okmguNr8y8SyqH5SoibiayUXEwJZFsQ4EVrMrE88UA9Wwp5hg9X7MydQQYMK2xyleJ720saQs1L5g/640?wx_fmt=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16" w:rsidRDefault="00AB1416" w:rsidP="00AB1416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  <w:shd w:val="clear" w:color="auto" w:fill="D4FA00"/>
        </w:rPr>
        <w:t>白糖跨期套利：</w:t>
      </w:r>
    </w:p>
    <w:p w:rsidR="00AB1416" w:rsidRDefault="00AB1416" w:rsidP="00AB1416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时间进入7月，到9月白糖交割还有两个月的时间，91月价差也将进入建仓的时间点，但是盘面看91月的价差仍是不太好把握，盘面白糖整体走势仍是偏空，91价差0点附近可以少量尝试卖开，15月价差以买开为主。</w:t>
      </w:r>
    </w:p>
    <w:p w:rsidR="00AB1416" w:rsidRDefault="00AB1416" w:rsidP="00AB1416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</w:p>
    <w:p w:rsidR="00AB1416" w:rsidRDefault="00AB1416" w:rsidP="00AB141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  <w:shd w:val="clear" w:color="auto" w:fill="FFACD5"/>
        </w:rPr>
        <w:t>棉花跨期套利：</w:t>
      </w:r>
    </w:p>
    <w:p w:rsidR="00AB1416" w:rsidRDefault="00AB1416" w:rsidP="00AB1416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G20峰会领导人会晤，使得贸易战又有所缓解，也给棉花短期上涨有了一定的支持，但棉花基本面眼下不支持棉花大幅走高，棉花91月价差最近在-600左右振幅相对缩小，-600以下的价差可以尝试少量买开。</w:t>
      </w:r>
    </w:p>
    <w:p w:rsidR="00AB1416" w:rsidRDefault="00AB1416" w:rsidP="00AB1416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</w:p>
    <w:p w:rsidR="00AB1416" w:rsidRDefault="00AB1416" w:rsidP="00AB141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  <w:shd w:val="clear" w:color="auto" w:fill="FFFB00"/>
        </w:rPr>
        <w:t>玉米跨期套利：</w:t>
      </w:r>
    </w:p>
    <w:p w:rsidR="00AB1416" w:rsidRDefault="00AB1416" w:rsidP="00AB1416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lastRenderedPageBreak/>
        <w:t>贸易战缓解，玉米进口端再起波澜，结合基本面来看，短期玉米也是易涨难跌，但是9月合约跌幅应该不会太大，91月价差以买开为主，-60到-70的位置少量尝试。15月价差也以买开为主。</w:t>
      </w:r>
    </w:p>
    <w:p w:rsidR="00AB1416" w:rsidRDefault="00AB1416" w:rsidP="00AB141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</w:p>
    <w:p w:rsidR="00AB1416" w:rsidRDefault="00AB1416" w:rsidP="00AB141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465828" w:rsidRPr="00AB1416" w:rsidRDefault="00465828"/>
    <w:sectPr w:rsidR="00465828" w:rsidRPr="00AB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28" w:rsidRDefault="00465828" w:rsidP="00AB1416">
      <w:r>
        <w:separator/>
      </w:r>
    </w:p>
  </w:endnote>
  <w:endnote w:type="continuationSeparator" w:id="1">
    <w:p w:rsidR="00465828" w:rsidRDefault="00465828" w:rsidP="00AB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28" w:rsidRDefault="00465828" w:rsidP="00AB1416">
      <w:r>
        <w:separator/>
      </w:r>
    </w:p>
  </w:footnote>
  <w:footnote w:type="continuationSeparator" w:id="1">
    <w:p w:rsidR="00465828" w:rsidRDefault="00465828" w:rsidP="00AB1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16"/>
    <w:rsid w:val="00465828"/>
    <w:rsid w:val="00AB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4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1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141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B14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1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2019-07-01T08:42:00Z</dcterms:created>
  <dcterms:modified xsi:type="dcterms:W3CDTF">2019-07-01T08:43:00Z</dcterms:modified>
</cp:coreProperties>
</file>