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B6" w:rsidRDefault="003F64B6" w:rsidP="003F64B6">
      <w:pPr>
        <w:pStyle w:val="a5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021EAA"/>
          <w:sz w:val="19"/>
          <w:szCs w:val="19"/>
        </w:rPr>
        <w:t>商品期货套利机会跟踪</w:t>
      </w:r>
    </w:p>
    <w:p w:rsidR="003F64B6" w:rsidRDefault="003F64B6" w:rsidP="003F64B6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333333"/>
          <w:sz w:val="19"/>
          <w:szCs w:val="19"/>
          <w:shd w:val="clear" w:color="auto" w:fill="FFFED5"/>
        </w:rPr>
        <w:t>白糖跨期套利：</w:t>
      </w:r>
    </w:p>
    <w:p w:rsidR="003F64B6" w:rsidRDefault="003F64B6" w:rsidP="003F64B6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       白糖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59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月价差本周震荡区间0-20，区间缩小，走势稍微稳定下来，策略上仍以卖5买9为主，价差20点以上卖开，中长线破0点后可以继续持有，短线操作上0点可以逐步减仓，稳妥的投资者可以等待价差平稳回落后再进场。</w:t>
      </w:r>
    </w:p>
    <w:p w:rsidR="003F64B6" w:rsidRDefault="003F64B6" w:rsidP="003F64B6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</w:p>
    <w:p w:rsidR="003F64B6" w:rsidRDefault="003F64B6" w:rsidP="003F64B6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333333"/>
          <w:sz w:val="19"/>
          <w:szCs w:val="19"/>
          <w:shd w:val="clear" w:color="auto" w:fill="FFA900"/>
        </w:rPr>
        <w:t>玉米跨期套利：</w:t>
      </w:r>
    </w:p>
    <w:p w:rsidR="003F64B6" w:rsidRDefault="003F64B6" w:rsidP="003F64B6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       玉米行情迎来大幅反弹，伴随着菜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的利好消息，饲料类本周基本涨幅都不小尤其是菜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玉米的近月合约，这使得玉米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59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月价差拉升到高点-13左右，按照原策略这个位置可以逐步进场卖开（卖5买9），第一目标价差-35，到这位置可以逐步减仓，长线可以继续博更大收益。</w:t>
      </w:r>
    </w:p>
    <w:p w:rsidR="003F64B6" w:rsidRDefault="003F64B6" w:rsidP="003F64B6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</w:p>
    <w:p w:rsidR="003F64B6" w:rsidRDefault="003F64B6" w:rsidP="003F64B6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333333"/>
          <w:sz w:val="19"/>
          <w:szCs w:val="19"/>
          <w:shd w:val="clear" w:color="auto" w:fill="73FCD6"/>
        </w:rPr>
        <w:t>棉花跨期套利：</w:t>
      </w:r>
    </w:p>
    <w:p w:rsidR="003F64B6" w:rsidRDefault="003F64B6" w:rsidP="003F64B6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       棉花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59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月价差临近-500价差开始上涨，本周维持在-450左右，获利了结的持仓临近-400价差附近可以逐步加回来，没有持仓的可以在-400位置逐步建仓。</w:t>
      </w:r>
    </w:p>
    <w:p w:rsidR="003F64B6" w:rsidRDefault="003F64B6" w:rsidP="003F64B6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</w:p>
    <w:p w:rsidR="003F64B6" w:rsidRDefault="003F64B6" w:rsidP="003F64B6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333333"/>
          <w:sz w:val="19"/>
          <w:szCs w:val="19"/>
          <w:shd w:val="clear" w:color="auto" w:fill="FFACD5"/>
        </w:rPr>
        <w:t>豆油和棕榈油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19"/>
          <w:szCs w:val="19"/>
          <w:shd w:val="clear" w:color="auto" w:fill="FFACD5"/>
        </w:rPr>
        <w:t>跨品种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19"/>
          <w:szCs w:val="19"/>
          <w:shd w:val="clear" w:color="auto" w:fill="FFACD5"/>
        </w:rPr>
        <w:t>套利：</w:t>
      </w:r>
    </w:p>
    <w:p w:rsidR="003F64B6" w:rsidRDefault="003F64B6" w:rsidP="003F64B6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       豆棕方面，近期价差表现如我们所预期，短期内处于扩大的过程当中，从数据上看，国内豆油供给端在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榨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利恶化以及豆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粕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需求偏悲观的背景下依旧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处于收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窄的状态当中，这也导致国内豆油库存进一步下滑。而棕榈油方面，则是在内外盘价差拉开、进口利润扩大的条件下，国内库存持续上行。两者之间的国内供给差异造成短期内豆棕价差呈现出上行态势。</w:t>
      </w:r>
    </w:p>
    <w:p w:rsidR="003F64B6" w:rsidRDefault="003F64B6" w:rsidP="003F64B6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lastRenderedPageBreak/>
        <w:t>       但是中期来看，豆类始终面临着巨量库存，国内豆类同样存在南美大豆上市、中美贸易缓和等远期供给端问题，而在棕榈油方面，当前棕榈油仍处于减产周期内，因此我们对未来中远期的豆棕价差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保持看缩的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思路。</w:t>
      </w:r>
    </w:p>
    <w:p w:rsidR="003F64B6" w:rsidRDefault="003F64B6" w:rsidP="003F64B6">
      <w:pPr>
        <w:pStyle w:val="a5"/>
        <w:spacing w:before="0" w:beforeAutospacing="0" w:after="113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        操作方面，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当前豆棕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的驱动核心在于国内的供给差异，驱动方向未变的前提下，加之豆棕价差本身并不处于绝对的极端位置，因此我们建议观望为主，待</w:t>
      </w:r>
      <w:proofErr w:type="gramStart"/>
      <w:r>
        <w:rPr>
          <w:rFonts w:ascii="微软雅黑" w:eastAsia="微软雅黑" w:hAnsi="微软雅黑" w:hint="eastAsia"/>
          <w:color w:val="333333"/>
          <w:sz w:val="19"/>
          <w:szCs w:val="19"/>
        </w:rPr>
        <w:t>国内豆棕</w:t>
      </w:r>
      <w:proofErr w:type="gramEnd"/>
      <w:r>
        <w:rPr>
          <w:rFonts w:ascii="微软雅黑" w:eastAsia="微软雅黑" w:hAnsi="微软雅黑" w:hint="eastAsia"/>
          <w:color w:val="333333"/>
          <w:sz w:val="19"/>
          <w:szCs w:val="19"/>
        </w:rPr>
        <w:t>供给端的强弱出现缓和的时候再考虑进场。</w:t>
      </w:r>
    </w:p>
    <w:p w:rsidR="003F64B6" w:rsidRDefault="003F64B6" w:rsidP="003F64B6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</w:p>
    <w:p w:rsidR="003F64B6" w:rsidRDefault="003F64B6" w:rsidP="003F64B6">
      <w:pPr>
        <w:pStyle w:val="a5"/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z w:val="19"/>
          <w:szCs w:val="19"/>
        </w:rPr>
      </w:pPr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免责声明：本研究报告由金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鹏经济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17"/>
          <w:szCs w:val="17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 </w:t>
      </w:r>
    </w:p>
    <w:p w:rsidR="003F64B6" w:rsidRDefault="003F64B6" w:rsidP="003F64B6">
      <w:pPr>
        <w:pStyle w:val="a5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19"/>
          <w:szCs w:val="19"/>
        </w:rPr>
      </w:pPr>
    </w:p>
    <w:p w:rsidR="00AD018A" w:rsidRPr="003F64B6" w:rsidRDefault="00AD018A"/>
    <w:sectPr w:rsidR="00AD018A" w:rsidRPr="003F64B6" w:rsidSect="00AD0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BB1" w:rsidRDefault="00000BB1" w:rsidP="003F64B6">
      <w:r>
        <w:separator/>
      </w:r>
    </w:p>
  </w:endnote>
  <w:endnote w:type="continuationSeparator" w:id="0">
    <w:p w:rsidR="00000BB1" w:rsidRDefault="00000BB1" w:rsidP="003F6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BB1" w:rsidRDefault="00000BB1" w:rsidP="003F64B6">
      <w:r>
        <w:separator/>
      </w:r>
    </w:p>
  </w:footnote>
  <w:footnote w:type="continuationSeparator" w:id="0">
    <w:p w:rsidR="00000BB1" w:rsidRDefault="00000BB1" w:rsidP="003F6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4B6"/>
    <w:rsid w:val="00000BB1"/>
    <w:rsid w:val="003F64B6"/>
    <w:rsid w:val="00871B6C"/>
    <w:rsid w:val="00AD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4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4B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F64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F64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>IT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2019-03-04T06:53:00Z</dcterms:created>
  <dcterms:modified xsi:type="dcterms:W3CDTF">2019-03-04T06:53:00Z</dcterms:modified>
</cp:coreProperties>
</file>