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0FC" w:rsidRDefault="007050FC" w:rsidP="007050FC">
      <w:pPr>
        <w:pStyle w:val="a5"/>
        <w:shd w:val="clear" w:color="auto" w:fill="FFFFFF"/>
        <w:spacing w:before="0" w:beforeAutospacing="0" w:after="0" w:afterAutospacing="0"/>
        <w:jc w:val="center"/>
        <w:rPr>
          <w:rFonts w:ascii="Microsoft YaHei UI" w:eastAsia="Microsoft YaHei UI" w:hAnsi="Microsoft YaHei UI"/>
          <w:color w:val="333333"/>
          <w:spacing w:val="8"/>
          <w:sz w:val="26"/>
          <w:szCs w:val="26"/>
        </w:rPr>
      </w:pPr>
      <w:r>
        <w:rPr>
          <w:rStyle w:val="a6"/>
          <w:rFonts w:ascii="Microsoft YaHei UI" w:eastAsia="Microsoft YaHei UI" w:hAnsi="Microsoft YaHei UI" w:hint="eastAsia"/>
          <w:color w:val="0052FF"/>
          <w:spacing w:val="8"/>
          <w:sz w:val="27"/>
          <w:szCs w:val="27"/>
        </w:rPr>
        <w:t>商品期货套利机会跟踪</w:t>
      </w:r>
    </w:p>
    <w:p w:rsidR="007050FC" w:rsidRDefault="007050FC" w:rsidP="007050FC">
      <w:pPr>
        <w:pStyle w:val="a5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Style w:val="a6"/>
          <w:rFonts w:ascii="Microsoft YaHei UI" w:eastAsia="Microsoft YaHei UI" w:hAnsi="Microsoft YaHei UI" w:hint="eastAsia"/>
          <w:color w:val="333333"/>
          <w:spacing w:val="8"/>
          <w:sz w:val="26"/>
          <w:szCs w:val="26"/>
          <w:shd w:val="clear" w:color="auto" w:fill="FFACD5"/>
        </w:rPr>
        <w:t>白糖跨期套利：</w:t>
      </w:r>
    </w:p>
    <w:p w:rsidR="007050FC" w:rsidRDefault="007050FC" w:rsidP="007050FC">
      <w:pPr>
        <w:pStyle w:val="a5"/>
        <w:shd w:val="clear" w:color="auto" w:fill="FFFFFF"/>
        <w:spacing w:before="0" w:beforeAutospacing="0" w:after="150" w:afterAutospacing="0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  <w:t>       白糖59月价差随着换月开始剧烈震荡也随之而来，但整体上还是在预期里，价差高点40以上随后开始了下跌，现在价差在15左右，上周五开盘价差瞬间下拉了很多，获利单也了解了不少，整体策略仍然没有改变，逢高卖开，短期目标0点平仓，中长期继续持有。</w:t>
      </w:r>
    </w:p>
    <w:p w:rsidR="007050FC" w:rsidRDefault="007050FC" w:rsidP="007050FC">
      <w:pPr>
        <w:pStyle w:val="a5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Style w:val="a6"/>
          <w:rFonts w:ascii="Microsoft YaHei UI" w:eastAsia="Microsoft YaHei UI" w:hAnsi="Microsoft YaHei UI" w:hint="eastAsia"/>
          <w:color w:val="333333"/>
          <w:spacing w:val="8"/>
          <w:sz w:val="26"/>
          <w:szCs w:val="26"/>
          <w:shd w:val="clear" w:color="auto" w:fill="FFFB00"/>
        </w:rPr>
        <w:t>玉米跨期套利：</w:t>
      </w:r>
    </w:p>
    <w:p w:rsidR="007050FC" w:rsidRDefault="007050FC" w:rsidP="007050FC">
      <w:pPr>
        <w:pStyle w:val="a5"/>
        <w:shd w:val="clear" w:color="auto" w:fill="FFFFFF"/>
        <w:spacing w:before="0" w:beforeAutospacing="0" w:after="150" w:afterAutospacing="0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  <w:t>       玉米59合约，玉米单边行情下跌了不少，前期高点位置的压力还是非常大的，价差也随着下跌涨上去不少，盘中在-25左右，短线可尝试进场卖开，5到10个点收益平仓，中长线也可以逐步进场，稳妥的投资者继续等待价差接近0点附近进场。</w:t>
      </w:r>
    </w:p>
    <w:p w:rsidR="007050FC" w:rsidRDefault="007050FC" w:rsidP="007050FC">
      <w:pPr>
        <w:pStyle w:val="a5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Style w:val="a6"/>
          <w:rFonts w:ascii="Microsoft YaHei UI" w:eastAsia="Microsoft YaHei UI" w:hAnsi="Microsoft YaHei UI" w:hint="eastAsia"/>
          <w:color w:val="333333"/>
          <w:spacing w:val="8"/>
          <w:sz w:val="26"/>
          <w:szCs w:val="26"/>
          <w:shd w:val="clear" w:color="auto" w:fill="73FCD6"/>
        </w:rPr>
        <w:t>棉花跨期套利：</w:t>
      </w:r>
    </w:p>
    <w:p w:rsidR="007050FC" w:rsidRDefault="007050FC" w:rsidP="007050FC">
      <w:pPr>
        <w:pStyle w:val="a5"/>
        <w:shd w:val="clear" w:color="auto" w:fill="FFFFFF"/>
        <w:spacing w:before="0" w:beforeAutospacing="0" w:after="150" w:afterAutospacing="0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  <w:t>       棉花59月价差小幅震荡，几十点之间震荡，策略上没有发生变化，-400左右卖开进场，短线-500位置获利了结，中长线-500逐步了结。</w:t>
      </w:r>
    </w:p>
    <w:p w:rsidR="007050FC" w:rsidRDefault="007050FC" w:rsidP="007050FC">
      <w:pPr>
        <w:pStyle w:val="a5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Style w:val="a6"/>
          <w:rFonts w:ascii="Microsoft YaHei UI" w:eastAsia="Microsoft YaHei UI" w:hAnsi="Microsoft YaHei UI" w:hint="eastAsia"/>
          <w:color w:val="333333"/>
          <w:spacing w:val="8"/>
          <w:sz w:val="26"/>
          <w:szCs w:val="26"/>
          <w:shd w:val="clear" w:color="auto" w:fill="FFD7D5"/>
        </w:rPr>
        <w:t>豆油&amp;棕榈油跨品种套利：</w:t>
      </w:r>
    </w:p>
    <w:p w:rsidR="007050FC" w:rsidRDefault="007050FC" w:rsidP="007050FC">
      <w:pPr>
        <w:pStyle w:val="a5"/>
        <w:shd w:val="clear" w:color="auto" w:fill="FFFFFF"/>
        <w:spacing w:before="0" w:beforeAutospacing="0" w:after="150" w:afterAutospacing="0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  <w:t>       豆棕09价差逐步缩小，整体思路与此前类似，随着前期仓位盈利逐步扩大，操作方面建议适量减仓，反弹后考虑回补，短期保持滚动操作的思路，高位长线单轻仓持有，目前价差不建议介入长线单。 </w:t>
      </w:r>
    </w:p>
    <w:p w:rsidR="007050FC" w:rsidRDefault="007050FC" w:rsidP="007050FC">
      <w:pPr>
        <w:pStyle w:val="a5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</w:p>
    <w:p w:rsidR="007050FC" w:rsidRDefault="007050FC" w:rsidP="007050FC">
      <w:pPr>
        <w:pStyle w:val="a5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Style w:val="a6"/>
          <w:rFonts w:ascii="Microsoft YaHei UI" w:eastAsia="Microsoft YaHei UI" w:hAnsi="Microsoft YaHei UI" w:hint="eastAsia"/>
          <w:color w:val="333333"/>
          <w:spacing w:val="8"/>
          <w:sz w:val="23"/>
          <w:szCs w:val="23"/>
        </w:rPr>
        <w:lastRenderedPageBreak/>
        <w:t>免责声明：本研究报告由金鹏经济研究所提供，其中观点仅代表分析师个人观点，出现的价位及操作建议仅体现分析师个人分析思路，分析师力求报告内容所述信息的可靠、准确及完整，但不保证报告所述信息及结论的准确性。本报告所提出的观点、结论和建议仅供投资者参考，不能当然作为投资研究决策的依据，也不能成为本公司承担明示或暗示的道义或法律责任的依据。</w:t>
      </w:r>
      <w:r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  <w:t> </w:t>
      </w:r>
    </w:p>
    <w:p w:rsidR="007050FC" w:rsidRDefault="007050FC" w:rsidP="007050FC">
      <w:pPr>
        <w:pStyle w:val="a5"/>
        <w:shd w:val="clear" w:color="auto" w:fill="FFFFFF"/>
        <w:spacing w:before="0" w:beforeAutospacing="0" w:after="0" w:afterAutospacing="0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ascii="Microsoft YaHei UI" w:eastAsia="Microsoft YaHei UI" w:hAnsi="Microsoft YaHei UI" w:hint="eastAsia"/>
          <w:b/>
          <w:bCs/>
          <w:color w:val="0052FF"/>
          <w:spacing w:val="8"/>
          <w:sz w:val="27"/>
          <w:szCs w:val="27"/>
        </w:rPr>
        <w:br/>
      </w:r>
    </w:p>
    <w:p w:rsidR="009D435B" w:rsidRDefault="009D435B"/>
    <w:sectPr w:rsidR="009D43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435B" w:rsidRDefault="009D435B" w:rsidP="007050FC">
      <w:r>
        <w:separator/>
      </w:r>
    </w:p>
  </w:endnote>
  <w:endnote w:type="continuationSeparator" w:id="1">
    <w:p w:rsidR="009D435B" w:rsidRDefault="009D435B" w:rsidP="007050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435B" w:rsidRDefault="009D435B" w:rsidP="007050FC">
      <w:r>
        <w:separator/>
      </w:r>
    </w:p>
  </w:footnote>
  <w:footnote w:type="continuationSeparator" w:id="1">
    <w:p w:rsidR="009D435B" w:rsidRDefault="009D435B" w:rsidP="007050F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50FC"/>
    <w:rsid w:val="007050FC"/>
    <w:rsid w:val="009D43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050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050F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050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050FC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7050F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7050F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5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3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59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2019-03-25T10:00:00Z</dcterms:created>
  <dcterms:modified xsi:type="dcterms:W3CDTF">2019-03-25T10:01:00Z</dcterms:modified>
</cp:coreProperties>
</file>