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255" w:lineRule="atLeast"/>
        <w:jc w:val="center"/>
        <w:rPr>
          <w:rFonts w:ascii="Microsoft YaHei UI" w:eastAsia="Microsoft YaHei UI" w:hAnsi="Microsoft YaHei UI"/>
          <w:color w:val="333333"/>
          <w:spacing w:val="5"/>
          <w:sz w:val="17"/>
          <w:szCs w:val="17"/>
        </w:rPr>
      </w:pPr>
      <w:r>
        <w:rPr>
          <w:rStyle w:val="a6"/>
          <w:rFonts w:ascii="Microsoft YaHei UI" w:eastAsia="Microsoft YaHei UI" w:hAnsi="Microsoft YaHei UI" w:hint="eastAsia"/>
          <w:color w:val="0052FF"/>
          <w:spacing w:val="5"/>
        </w:rPr>
        <w:t>商品期货套利跟踪</w:t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255" w:lineRule="atLeast"/>
        <w:jc w:val="both"/>
        <w:rPr>
          <w:rFonts w:ascii="Microsoft YaHei UI" w:eastAsia="Microsoft YaHei UI" w:hAnsi="Microsoft YaHei UI" w:hint="eastAsia"/>
          <w:color w:val="333333"/>
          <w:spacing w:val="5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pacing w:val="5"/>
          <w:sz w:val="16"/>
          <w:szCs w:val="16"/>
        </w:rPr>
        <w:t>   </w:t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  <w:r>
        <w:rPr>
          <w:rStyle w:val="a6"/>
          <w:rFonts w:ascii="微软雅黑" w:eastAsia="微软雅黑" w:hAnsi="微软雅黑" w:hint="eastAsia"/>
          <w:color w:val="000000"/>
          <w:spacing w:val="5"/>
          <w:sz w:val="16"/>
          <w:szCs w:val="16"/>
          <w:shd w:val="clear" w:color="auto" w:fill="FFFED5"/>
        </w:rPr>
        <w:t>白糖跨期套利：</w:t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  <w:r>
        <w:rPr>
          <w:rFonts w:ascii="微软雅黑" w:eastAsia="微软雅黑" w:hAnsi="微软雅黑" w:hint="eastAsia"/>
          <w:color w:val="000000"/>
          <w:spacing w:val="5"/>
          <w:sz w:val="16"/>
          <w:szCs w:val="16"/>
        </w:rPr>
        <w:t>59月价差高点30点左右开始下探，价差行情也开启了尾声行情，走势仍在预期里，前期持有的单子0点附近逐步持仓，中长线可博取一个更大收益。</w:t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  <w:r>
        <w:rPr>
          <w:rStyle w:val="a6"/>
          <w:rFonts w:ascii="微软雅黑" w:eastAsia="微软雅黑" w:hAnsi="微软雅黑" w:hint="eastAsia"/>
          <w:color w:val="000000"/>
          <w:spacing w:val="5"/>
          <w:sz w:val="16"/>
          <w:szCs w:val="16"/>
          <w:shd w:val="clear" w:color="auto" w:fill="FFFB00"/>
        </w:rPr>
        <w:t>玉米跨期套利：</w:t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  <w:r>
        <w:rPr>
          <w:rFonts w:ascii="微软雅黑" w:eastAsia="微软雅黑" w:hAnsi="微软雅黑" w:hint="eastAsia"/>
          <w:color w:val="000000"/>
          <w:spacing w:val="5"/>
          <w:sz w:val="16"/>
          <w:szCs w:val="16"/>
        </w:rPr>
        <w:t>单边行情底部拉升，本周涨幅较大，59价差再次回到-40左右，前期短线进场单子全部获利了结，中长线单子可逐步获利了结，留小部分博取更大收益，短线围绕着-30到-25之间可重新尝试进场。</w:t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  <w:r>
        <w:rPr>
          <w:rFonts w:ascii="微软雅黑" w:eastAsia="微软雅黑" w:hAnsi="微软雅黑" w:hint="eastAsia"/>
          <w:color w:val="000000"/>
          <w:spacing w:val="5"/>
          <w:sz w:val="16"/>
          <w:szCs w:val="16"/>
        </w:rPr>
        <w:br/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  <w:r>
        <w:rPr>
          <w:rStyle w:val="a6"/>
          <w:rFonts w:ascii="微软雅黑" w:eastAsia="微软雅黑" w:hAnsi="微软雅黑" w:hint="eastAsia"/>
          <w:color w:val="000000"/>
          <w:spacing w:val="5"/>
          <w:sz w:val="16"/>
          <w:szCs w:val="16"/>
          <w:shd w:val="clear" w:color="auto" w:fill="A5C8FF"/>
        </w:rPr>
        <w:t>棉花跨期套利：</w:t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  <w:r>
        <w:rPr>
          <w:rFonts w:ascii="微软雅黑" w:eastAsia="微软雅黑" w:hAnsi="微软雅黑" w:hint="eastAsia"/>
          <w:color w:val="000000"/>
          <w:spacing w:val="5"/>
          <w:sz w:val="16"/>
          <w:szCs w:val="16"/>
        </w:rPr>
        <w:t>59月价差再次临近-500位置，短线操作单子可逐步获利了结，中长线可逐步了结，91月价差比59月更强势些，价差已经到了-500以下位置，91月相对59月时间还比较长，单子可以逐步获利了结。无论是59</w:t>
      </w:r>
      <w:r>
        <w:rPr>
          <w:rFonts w:ascii="微软雅黑" w:eastAsia="微软雅黑" w:hAnsi="微软雅黑" w:hint="eastAsia"/>
          <w:color w:val="000000"/>
          <w:spacing w:val="5"/>
          <w:sz w:val="14"/>
          <w:szCs w:val="14"/>
        </w:rPr>
        <w:t>月还是91月都延续原先思路，卖开为主，短期进场位置-400上下，100点逐步获利了结。</w:t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  <w:r>
        <w:rPr>
          <w:rFonts w:ascii="微软雅黑" w:eastAsia="微软雅黑" w:hAnsi="微软雅黑" w:hint="eastAsia"/>
          <w:color w:val="000000"/>
          <w:spacing w:val="5"/>
          <w:sz w:val="14"/>
          <w:szCs w:val="14"/>
        </w:rPr>
        <w:br/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  <w:r>
        <w:rPr>
          <w:rStyle w:val="a6"/>
          <w:rFonts w:ascii="微软雅黑" w:eastAsia="微软雅黑" w:hAnsi="微软雅黑" w:hint="eastAsia"/>
          <w:color w:val="000000"/>
          <w:spacing w:val="5"/>
          <w:sz w:val="16"/>
          <w:szCs w:val="16"/>
          <w:shd w:val="clear" w:color="auto" w:fill="D4FA00"/>
        </w:rPr>
        <w:t>豆棕跨品种套利：</w:t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  <w:r>
        <w:rPr>
          <w:rFonts w:ascii="微软雅黑" w:eastAsia="微软雅黑" w:hAnsi="微软雅黑" w:hint="eastAsia"/>
          <w:color w:val="000000"/>
          <w:spacing w:val="5"/>
          <w:sz w:val="16"/>
          <w:szCs w:val="16"/>
        </w:rPr>
        <w:t>09价差逐步缩小，前期盈利仓位已提示减仓，当前思路不变，900以下陆续止盈离场，本轮价差收窄的过程中收益超过200点，收益率达到40%，高位建仓的长线单当前已基本脱离成本区间，根据个人风险承受能力设置回撤止盈后，适当持仓即可。</w:t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  <w:r>
        <w:rPr>
          <w:rFonts w:ascii="微软雅黑" w:eastAsia="微软雅黑" w:hAnsi="微软雅黑" w:hint="eastAsia"/>
          <w:color w:val="000000"/>
          <w:spacing w:val="5"/>
          <w:sz w:val="16"/>
          <w:szCs w:val="16"/>
        </w:rPr>
        <w:t>从基本面来看，豆棕价差国内外基本面存在一定的差异，国内棕榈油库存维持高位，但产地棕榈油减产超预期，加之未来棕榈油处于增产周期，除非出现天气问题导致棕榈油增产幅度大幅低于往年，否则豆棕缩小的趋势难以长期持续。</w:t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5"/>
          <w:sz w:val="17"/>
          <w:szCs w:val="17"/>
        </w:rPr>
      </w:pP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 w:hint="eastAsia"/>
          <w:color w:val="7F7F7F"/>
          <w:spacing w:val="5"/>
          <w:sz w:val="14"/>
          <w:szCs w:val="14"/>
        </w:rPr>
      </w:pPr>
      <w:r>
        <w:rPr>
          <w:rStyle w:val="a6"/>
          <w:rFonts w:ascii="微软雅黑" w:eastAsia="微软雅黑" w:hAnsi="微软雅黑" w:hint="eastAsia"/>
          <w:color w:val="000000"/>
          <w:spacing w:val="5"/>
          <w:sz w:val="15"/>
          <w:szCs w:val="15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5"/>
          <w:sz w:val="17"/>
          <w:szCs w:val="17"/>
        </w:rPr>
      </w:pP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5"/>
          <w:sz w:val="17"/>
          <w:szCs w:val="17"/>
        </w:rPr>
      </w:pPr>
    </w:p>
    <w:p w:rsidR="007002F5" w:rsidRDefault="007002F5" w:rsidP="007002F5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5"/>
          <w:sz w:val="17"/>
          <w:szCs w:val="17"/>
        </w:rPr>
      </w:pPr>
    </w:p>
    <w:p w:rsidR="005B38D3" w:rsidRPr="007002F5" w:rsidRDefault="005B38D3"/>
    <w:sectPr w:rsidR="005B38D3" w:rsidRPr="0070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D3" w:rsidRDefault="005B38D3" w:rsidP="007002F5">
      <w:r>
        <w:separator/>
      </w:r>
    </w:p>
  </w:endnote>
  <w:endnote w:type="continuationSeparator" w:id="1">
    <w:p w:rsidR="005B38D3" w:rsidRDefault="005B38D3" w:rsidP="00700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D3" w:rsidRDefault="005B38D3" w:rsidP="007002F5">
      <w:r>
        <w:separator/>
      </w:r>
    </w:p>
  </w:footnote>
  <w:footnote w:type="continuationSeparator" w:id="1">
    <w:p w:rsidR="005B38D3" w:rsidRDefault="005B38D3" w:rsidP="00700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2F5"/>
    <w:rsid w:val="005B38D3"/>
    <w:rsid w:val="0070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2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2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0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00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2019-04-08T09:41:00Z</dcterms:created>
  <dcterms:modified xsi:type="dcterms:W3CDTF">2019-04-08T09:42:00Z</dcterms:modified>
</cp:coreProperties>
</file>