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71" w:rsidRPr="00D32571" w:rsidRDefault="00D32571" w:rsidP="00D32571">
      <w:pPr>
        <w:widowControl/>
        <w:shd w:val="clear" w:color="auto" w:fill="FFFFFF"/>
        <w:spacing w:after="140"/>
        <w:jc w:val="left"/>
        <w:outlineLvl w:val="1"/>
        <w:rPr>
          <w:rFonts w:ascii="Microsoft YaHei UI" w:eastAsia="Microsoft YaHei UI" w:hAnsi="Microsoft YaHei UI" w:cs="宋体"/>
          <w:color w:val="333333"/>
          <w:spacing w:val="5"/>
          <w:kern w:val="0"/>
          <w:sz w:val="22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2"/>
        </w:rPr>
        <w:t>金鹏-周度品种观点</w:t>
      </w:r>
    </w:p>
    <w:p w:rsidR="00D32571" w:rsidRPr="00D32571" w:rsidRDefault="00D32571" w:rsidP="00D32571">
      <w:pPr>
        <w:widowControl/>
        <w:shd w:val="clear" w:color="auto" w:fill="FFFFFF"/>
        <w:wordWrap w:val="0"/>
        <w:spacing w:line="200" w:lineRule="atLeast"/>
        <w:jc w:val="left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"/>
          <w:szCs w:val="2"/>
        </w:rPr>
      </w:pPr>
    </w:p>
    <w:p w:rsidR="00D32571" w:rsidRPr="00D32571" w:rsidRDefault="00D32571" w:rsidP="00D3257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b/>
          <w:bCs/>
          <w:color w:val="333333"/>
          <w:spacing w:val="5"/>
          <w:kern w:val="0"/>
          <w:sz w:val="18"/>
        </w:rPr>
        <w:t>铜</w:t>
      </w:r>
    </w:p>
    <w:p w:rsidR="00D32571" w:rsidRPr="00D32571" w:rsidRDefault="00D32571" w:rsidP="00D32571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t>       决定铜价走势的主要是宏观经济预期和微观供需基本面，去年来宏观影响更为明显。近段中美贸易摩擦以及中美的贸易谈判进展影响铜价波动。但中期看，宏观上世界经济走缓预期非常明显，近段因欧洲和美国经济数据不佳铜价承压，上周初中美新一轮谈判继续并取得进展，给铜市反弹较大的推动力，但此后IMF下调全球经济增长预估，且美国威胁对数以百计的欧洲商品项目征收关税使得铜价大幅回落，周末中国金融数据中信贷宽送又给铜市注入利多力量，近期铜市宏观影响显著增强。总体而言，宏观上中长期走弱与短期利多形成多空交织，铜价陷入宽幅震荡。微观上铜本身市场结构方面，交易所显性库存多寡不一，三大交易所库存均有所减少，总体上大幅小于去年同期水平。本周预期铜价继续震荡，策略上维持投资者可以逢急跌大跌买入，中期持有，急冲高后一定需部分减仓待回落后再重建多头，短期看50000附近不建议再买入。</w:t>
      </w:r>
    </w:p>
    <w:p w:rsidR="00D32571" w:rsidRPr="00D32571" w:rsidRDefault="00D32571" w:rsidP="00D32571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br/>
      </w:r>
    </w:p>
    <w:p w:rsidR="00D32571" w:rsidRPr="00D32571" w:rsidRDefault="00D32571" w:rsidP="00D3257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b/>
          <w:bCs/>
          <w:color w:val="333333"/>
          <w:spacing w:val="5"/>
          <w:kern w:val="0"/>
          <w:sz w:val="18"/>
        </w:rPr>
        <w:t>原油</w:t>
      </w:r>
    </w:p>
    <w:p w:rsidR="00D32571" w:rsidRPr="00D32571" w:rsidRDefault="00D32571" w:rsidP="00D32571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t>       EIA公布美国商业原油库存持续增长，但是美国汽油库存大幅度下降支撑市场气氛，抵消原油库存增加影响，随着下降汽油需求高峰将来临，汽油库存更为重要。欧佩克协议减产时，利比亚、伊朗和委内瑞拉免于减产义务，但是由于委内瑞拉和伊朗受到美国制裁，委内瑞拉3月份原油日产量大幅度下降（委内瑞拉3月份原油日产量仅有73.2万桶，比2月份原油日产量减少28.9万桶，而在2015年委内瑞拉原油日产量曾经高达280万桶。），非自愿性大幅度减产，伊朗和委内瑞拉原油产量下降程度几乎占欧佩克整体产量减少的47%，中期来看继续维持国际油价上涨思路观点。</w:t>
      </w:r>
    </w:p>
    <w:p w:rsidR="00D32571" w:rsidRPr="00D32571" w:rsidRDefault="00D32571" w:rsidP="00D32571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b/>
          <w:bCs/>
          <w:color w:val="333333"/>
          <w:spacing w:val="5"/>
          <w:kern w:val="0"/>
          <w:sz w:val="18"/>
          <w:szCs w:val="18"/>
          <w:shd w:val="clear" w:color="auto" w:fill="A5C8FF"/>
        </w:rPr>
        <w:br/>
      </w:r>
    </w:p>
    <w:p w:rsidR="00D32571" w:rsidRPr="00D32571" w:rsidRDefault="00D32571" w:rsidP="00D3257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b/>
          <w:bCs/>
          <w:color w:val="333333"/>
          <w:spacing w:val="5"/>
          <w:kern w:val="0"/>
          <w:sz w:val="18"/>
        </w:rPr>
        <w:t>橡胶</w:t>
      </w:r>
    </w:p>
    <w:p w:rsidR="00D32571" w:rsidRPr="00D32571" w:rsidRDefault="00D32571" w:rsidP="00D32571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t>       橡胶基本面逻辑不变，乏善可陈，没有有效的利多逻辑。从供应角度看，云南、海南开割初期供应紧俏，供应放宽仍需时间，原材料价格坚挺，泰国胶水、杯胶价格在相对高位，对橡胶价格走势起到支撑作用。从需求角度看，下游加工厂继续维持刚需采购，社会库存居高不下，未来一段时间还将继续维持这种格局，因此近期市场的整体行情表现为下跌后的修复反弹趋势，此次反弹主要基于沪胶资金情绪带动，基本面对于反弹支撑仍有限，但由于库存压力大、下游需求不足、开割新供应将陆续上市，后期沪胶走势仍维持易跌难涨态势。</w:t>
      </w:r>
    </w:p>
    <w:p w:rsidR="00D32571" w:rsidRPr="00D32571" w:rsidRDefault="00D32571" w:rsidP="00D32571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b/>
          <w:bCs/>
          <w:color w:val="333333"/>
          <w:spacing w:val="5"/>
          <w:kern w:val="0"/>
          <w:sz w:val="18"/>
          <w:szCs w:val="18"/>
          <w:shd w:val="clear" w:color="auto" w:fill="73FA79"/>
        </w:rPr>
        <w:br/>
      </w:r>
    </w:p>
    <w:p w:rsidR="00D32571" w:rsidRPr="00D32571" w:rsidRDefault="00D32571" w:rsidP="00D3257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b/>
          <w:bCs/>
          <w:color w:val="333333"/>
          <w:spacing w:val="5"/>
          <w:kern w:val="0"/>
          <w:sz w:val="18"/>
        </w:rPr>
        <w:t>玉米&amp;淀粉</w:t>
      </w:r>
    </w:p>
    <w:p w:rsidR="00D32571" w:rsidRPr="00D32571" w:rsidRDefault="00D32571" w:rsidP="00D3257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b/>
          <w:bCs/>
          <w:color w:val="333333"/>
          <w:spacing w:val="5"/>
          <w:kern w:val="0"/>
          <w:sz w:val="17"/>
        </w:rPr>
        <w:t>短期供需基本平衡，关注新季预期</w:t>
      </w:r>
    </w:p>
    <w:p w:rsidR="00D32571" w:rsidRPr="00D32571" w:rsidRDefault="00D32571" w:rsidP="00D32571">
      <w:pPr>
        <w:widowControl/>
        <w:shd w:val="clear" w:color="auto" w:fill="FFFFFF"/>
        <w:spacing w:after="10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t>1．贸易谈判进展顺利，传言进口2000万吨，替代谷物进口预期担忧情绪仍在，近几个月配额内进口玉米陆续到港 </w:t>
      </w:r>
    </w:p>
    <w:p w:rsidR="00D32571" w:rsidRPr="00D32571" w:rsidRDefault="00D32571" w:rsidP="00D32571">
      <w:pPr>
        <w:widowControl/>
        <w:shd w:val="clear" w:color="auto" w:fill="FFFFFF"/>
        <w:spacing w:after="10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t>2. 基层粮已经不多，从新粮收购看，截止4月5日，玉米收购9900万吨，同比增加798万吨。新季度种植即将开始，重点关注天气和种植意向情况。</w:t>
      </w:r>
    </w:p>
    <w:p w:rsidR="00D32571" w:rsidRPr="00D32571" w:rsidRDefault="00D32571" w:rsidP="00D32571">
      <w:pPr>
        <w:widowControl/>
        <w:shd w:val="clear" w:color="auto" w:fill="FFFFFF"/>
        <w:spacing w:after="10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t>3. 生猪存栏环比下降，猪肉价格回调，养殖利润回落，饲料需求仍不旺。</w:t>
      </w:r>
    </w:p>
    <w:p w:rsidR="00D32571" w:rsidRPr="00D32571" w:rsidRDefault="00D32571" w:rsidP="00D32571">
      <w:pPr>
        <w:widowControl/>
        <w:shd w:val="clear" w:color="auto" w:fill="FFFFFF"/>
        <w:spacing w:after="10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t>4. 玉米现货价格企稳，淀粉价格变化不大。</w:t>
      </w:r>
    </w:p>
    <w:p w:rsidR="00D32571" w:rsidRPr="00D32571" w:rsidRDefault="00D32571" w:rsidP="00D32571">
      <w:pPr>
        <w:widowControl/>
        <w:shd w:val="clear" w:color="auto" w:fill="FFFFFF"/>
        <w:spacing w:after="10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t>5. 深加工开机率小幅回升，淀粉库存小幅增加。</w:t>
      </w:r>
    </w:p>
    <w:p w:rsidR="00D32571" w:rsidRPr="00D32571" w:rsidRDefault="00D32571" w:rsidP="00D32571">
      <w:pPr>
        <w:widowControl/>
        <w:shd w:val="clear" w:color="auto" w:fill="FFFFFF"/>
        <w:spacing w:after="10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  <w:lastRenderedPageBreak/>
        <w:t>       综上，天气转暖，基层售量速度加快，基层量所剩不多，进口玉米陆续到港，猪肉价格上涨，存栏继续下降，饲料需求短期难有起色，深加工开机仍然很高，玉米单边合约仍采取逢低买策略，合约选在远月，59月玉米价差仍坚持反向套利策略，5月玉米淀粉价差-480到-500区间尝试买开进场。</w:t>
      </w:r>
    </w:p>
    <w:p w:rsidR="00D32571" w:rsidRPr="00D32571" w:rsidRDefault="00D32571" w:rsidP="00D3257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</w:p>
    <w:p w:rsidR="00D32571" w:rsidRPr="00D32571" w:rsidRDefault="00D32571" w:rsidP="00D3257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b/>
          <w:bCs/>
          <w:color w:val="333333"/>
          <w:spacing w:val="5"/>
          <w:kern w:val="0"/>
          <w:sz w:val="15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p w:rsidR="00D32571" w:rsidRPr="00D32571" w:rsidRDefault="00D32571" w:rsidP="00D32571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17"/>
          <w:szCs w:val="17"/>
        </w:rPr>
      </w:pPr>
      <w:r w:rsidRPr="00D32571">
        <w:rPr>
          <w:rFonts w:ascii="Microsoft YaHei UI" w:eastAsia="Microsoft YaHei UI" w:hAnsi="Microsoft YaHei UI" w:cs="宋体" w:hint="eastAsia"/>
          <w:b/>
          <w:bCs/>
          <w:color w:val="333333"/>
          <w:spacing w:val="5"/>
          <w:kern w:val="0"/>
          <w:sz w:val="17"/>
          <w:szCs w:val="17"/>
        </w:rPr>
        <w:br/>
      </w:r>
    </w:p>
    <w:p w:rsidR="00064E52" w:rsidRPr="00D32571" w:rsidRDefault="00064E52"/>
    <w:sectPr w:rsidR="00064E52" w:rsidRPr="00D3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E52" w:rsidRDefault="00064E52" w:rsidP="00D32571">
      <w:r>
        <w:separator/>
      </w:r>
    </w:p>
  </w:endnote>
  <w:endnote w:type="continuationSeparator" w:id="1">
    <w:p w:rsidR="00064E52" w:rsidRDefault="00064E52" w:rsidP="00D3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E52" w:rsidRDefault="00064E52" w:rsidP="00D32571">
      <w:r>
        <w:separator/>
      </w:r>
    </w:p>
  </w:footnote>
  <w:footnote w:type="continuationSeparator" w:id="1">
    <w:p w:rsidR="00064E52" w:rsidRDefault="00064E52" w:rsidP="00D32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571"/>
    <w:rsid w:val="00064E52"/>
    <w:rsid w:val="00D3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257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5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5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257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32571"/>
  </w:style>
  <w:style w:type="character" w:styleId="a5">
    <w:name w:val="Hyperlink"/>
    <w:basedOn w:val="a0"/>
    <w:uiPriority w:val="99"/>
    <w:semiHidden/>
    <w:unhideWhenUsed/>
    <w:rsid w:val="00D32571"/>
    <w:rPr>
      <w:color w:val="0000FF"/>
      <w:u w:val="single"/>
    </w:rPr>
  </w:style>
  <w:style w:type="character" w:styleId="a6">
    <w:name w:val="Emphasis"/>
    <w:basedOn w:val="a0"/>
    <w:uiPriority w:val="20"/>
    <w:qFormat/>
    <w:rsid w:val="00D32571"/>
    <w:rPr>
      <w:i/>
      <w:iCs/>
    </w:rPr>
  </w:style>
  <w:style w:type="paragraph" w:styleId="a7">
    <w:name w:val="Normal (Web)"/>
    <w:basedOn w:val="a"/>
    <w:uiPriority w:val="99"/>
    <w:semiHidden/>
    <w:unhideWhenUsed/>
    <w:rsid w:val="00D32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32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2103">
                      <w:marLeft w:val="0"/>
                      <w:marRight w:val="0"/>
                      <w:marTop w:val="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2019-04-17T11:36:00Z</dcterms:created>
  <dcterms:modified xsi:type="dcterms:W3CDTF">2019-04-17T11:37:00Z</dcterms:modified>
</cp:coreProperties>
</file>