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F2" w:rsidRDefault="00DE07F2" w:rsidP="00DE07F2">
      <w:pPr>
        <w:pStyle w:val="a5"/>
        <w:spacing w:before="0" w:beforeAutospacing="0" w:after="0" w:afterAutospacing="0"/>
        <w:jc w:val="center"/>
        <w:rPr>
          <w:rFonts w:ascii="Microsoft YaHei UI" w:eastAsia="Microsoft YaHei UI" w:hAnsi="Microsoft YaHei UI"/>
          <w:color w:val="333333"/>
          <w:sz w:val="17"/>
          <w:szCs w:val="17"/>
        </w:rPr>
      </w:pPr>
      <w:r>
        <w:rPr>
          <w:rStyle w:val="a6"/>
          <w:rFonts w:ascii="Microsoft YaHei UI" w:eastAsia="Microsoft YaHei UI" w:hAnsi="Microsoft YaHei UI" w:hint="eastAsia"/>
          <w:color w:val="333333"/>
          <w:shd w:val="clear" w:color="auto" w:fill="73FA79"/>
        </w:rPr>
        <w:t>铜</w:t>
      </w:r>
    </w:p>
    <w:p w:rsidR="00DE07F2" w:rsidRDefault="00DE07F2" w:rsidP="00DE07F2">
      <w:pPr>
        <w:pStyle w:val="a5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z w:val="17"/>
          <w:szCs w:val="17"/>
        </w:rPr>
      </w:pPr>
      <w:r>
        <w:rPr>
          <w:rStyle w:val="a6"/>
          <w:rFonts w:ascii="Microsoft YaHei UI" w:eastAsia="Microsoft YaHei UI" w:hAnsi="Microsoft YaHei UI" w:hint="eastAsia"/>
          <w:color w:val="333333"/>
          <w:sz w:val="17"/>
          <w:szCs w:val="17"/>
        </w:rPr>
        <w:t>大跌是短期买入时机</w:t>
      </w:r>
    </w:p>
    <w:p w:rsidR="00DE07F2" w:rsidRDefault="00DE07F2" w:rsidP="00DE07F2">
      <w:pPr>
        <w:pStyle w:val="a5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z w:val="17"/>
          <w:szCs w:val="17"/>
        </w:rPr>
      </w:pPr>
      <w:r>
        <w:rPr>
          <w:rFonts w:ascii="Microsoft YaHei UI" w:eastAsia="Microsoft YaHei UI" w:hAnsi="Microsoft YaHei UI" w:hint="eastAsia"/>
          <w:color w:val="333333"/>
          <w:sz w:val="17"/>
          <w:szCs w:val="17"/>
        </w:rPr>
        <w:t>       决定铜价走势的主要是宏观经济预期和微观供需基本面，去年来宏观影响更为明显。近段中美贸易摩擦以及中美的贸易谈判进展影响铜价波动。但中期看，宏观上世界经济走缓预期非常明显，另一方面铜供应紧张也成为常态，库存明显低于去年同期。总体而言，宏观上中长期走弱，供应紧张形成多空交织，铜价陷入宽幅震荡。微观上铜本身市场结构方面，交易所显性库存总体上仍在减少并大幅小于去年同期水平，给铜市一定的支撑。上周中国假期外盘大跌，本周预期铜价探底回升，策略上维持投资者可以逢急跌大跌买入，中期持有，急冲高后一定需部分减仓待回落后再重建多头，短期看48000附近可以尝试买进。</w:t>
      </w:r>
    </w:p>
    <w:p w:rsidR="00DE07F2" w:rsidRDefault="00DE07F2" w:rsidP="00DE07F2">
      <w:pPr>
        <w:pStyle w:val="a5"/>
        <w:spacing w:before="0" w:beforeAutospacing="0" w:after="0" w:afterAutospacing="0"/>
        <w:rPr>
          <w:rFonts w:ascii="Microsoft YaHei UI" w:eastAsia="Microsoft YaHei UI" w:hAnsi="Microsoft YaHei UI" w:hint="eastAsia"/>
          <w:color w:val="333333"/>
          <w:sz w:val="17"/>
          <w:szCs w:val="17"/>
        </w:rPr>
      </w:pPr>
    </w:p>
    <w:p w:rsidR="00DE07F2" w:rsidRDefault="00DE07F2" w:rsidP="00DE07F2">
      <w:pPr>
        <w:pStyle w:val="a5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z w:val="17"/>
          <w:szCs w:val="17"/>
        </w:rPr>
      </w:pPr>
      <w:r>
        <w:rPr>
          <w:rStyle w:val="a6"/>
          <w:rFonts w:ascii="Microsoft YaHei UI" w:eastAsia="Microsoft YaHei UI" w:hAnsi="Microsoft YaHei UI" w:hint="eastAsia"/>
          <w:color w:val="333333"/>
          <w:sz w:val="17"/>
          <w:szCs w:val="17"/>
          <w:shd w:val="clear" w:color="auto" w:fill="A5C8FF"/>
        </w:rPr>
        <w:t>原油</w:t>
      </w:r>
    </w:p>
    <w:p w:rsidR="00DE07F2" w:rsidRDefault="00DE07F2" w:rsidP="00DE07F2">
      <w:pPr>
        <w:pStyle w:val="a5"/>
        <w:spacing w:before="0" w:beforeAutospacing="0" w:afterAutospacing="0"/>
        <w:rPr>
          <w:rFonts w:ascii="Microsoft YaHei UI" w:eastAsia="Microsoft YaHei UI" w:hAnsi="Microsoft YaHei UI" w:hint="eastAsia"/>
          <w:color w:val="333333"/>
          <w:sz w:val="17"/>
          <w:szCs w:val="17"/>
        </w:rPr>
      </w:pPr>
      <w:r>
        <w:rPr>
          <w:rFonts w:ascii="Microsoft YaHei UI" w:eastAsia="Microsoft YaHei UI" w:hAnsi="Microsoft YaHei UI" w:hint="eastAsia"/>
          <w:color w:val="333333"/>
          <w:sz w:val="17"/>
          <w:szCs w:val="17"/>
        </w:rPr>
        <w:t>       EIA公布美国商业原油库存升至2017年10月来最高, 录得超预期增加，推动了油价小幅回调，成品油方面，随着需求高峰期的来临，汽油以及精炼油库存连续下降，同时炼油厂开工率也大幅上升，随着地缘局势的恶化，这些因素抵消了部分利空影响，中期来看继续维持国际油价上涨思路观点。</w:t>
      </w:r>
    </w:p>
    <w:p w:rsidR="00DE07F2" w:rsidRDefault="00DE07F2" w:rsidP="00DE07F2">
      <w:pPr>
        <w:pStyle w:val="a5"/>
        <w:spacing w:before="0" w:beforeAutospacing="0" w:after="0" w:afterAutospacing="0"/>
        <w:rPr>
          <w:rFonts w:ascii="Microsoft YaHei UI" w:eastAsia="Microsoft YaHei UI" w:hAnsi="Microsoft YaHei UI" w:hint="eastAsia"/>
          <w:color w:val="333333"/>
          <w:sz w:val="17"/>
          <w:szCs w:val="17"/>
        </w:rPr>
      </w:pPr>
    </w:p>
    <w:p w:rsidR="00DE07F2" w:rsidRDefault="00DE07F2" w:rsidP="00DE07F2">
      <w:pPr>
        <w:pStyle w:val="a5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z w:val="17"/>
          <w:szCs w:val="17"/>
        </w:rPr>
      </w:pPr>
      <w:r>
        <w:rPr>
          <w:rStyle w:val="a6"/>
          <w:rFonts w:ascii="Microsoft YaHei UI" w:eastAsia="Microsoft YaHei UI" w:hAnsi="Microsoft YaHei UI" w:hint="eastAsia"/>
          <w:color w:val="333333"/>
          <w:shd w:val="clear" w:color="auto" w:fill="FFFED5"/>
        </w:rPr>
        <w:t>橡胶</w:t>
      </w:r>
    </w:p>
    <w:p w:rsidR="00DE07F2" w:rsidRDefault="00DE07F2" w:rsidP="00DE07F2">
      <w:pPr>
        <w:pStyle w:val="a5"/>
        <w:spacing w:before="0" w:beforeAutospacing="0" w:after="0" w:afterAutospacing="0"/>
        <w:rPr>
          <w:rFonts w:ascii="Microsoft YaHei UI" w:eastAsia="Microsoft YaHei UI" w:hAnsi="Microsoft YaHei UI" w:hint="eastAsia"/>
          <w:color w:val="333333"/>
          <w:sz w:val="17"/>
          <w:szCs w:val="17"/>
        </w:rPr>
      </w:pPr>
      <w:r>
        <w:rPr>
          <w:rFonts w:ascii="Microsoft YaHei UI" w:eastAsia="Microsoft YaHei UI" w:hAnsi="Microsoft YaHei UI" w:hint="eastAsia"/>
          <w:color w:val="333333"/>
          <w:sz w:val="17"/>
          <w:szCs w:val="17"/>
        </w:rPr>
        <w:t>       上周橡胶走势延续弱势震荡，主力围绕11500附近盘整，盘面多空分歧较大，基本面乏善可陈，目前橡胶利空因素主要基于供应预期释放和下游需求低迷，贸易环节高库存难以缓解是持续性压力，期现价差收窄回归，橡胶主力大幅下跌概率也不大，接下来沪胶或以窄幅震荡为主。</w:t>
      </w:r>
    </w:p>
    <w:p w:rsidR="00DE07F2" w:rsidRDefault="00DE07F2" w:rsidP="00DE07F2">
      <w:pPr>
        <w:pStyle w:val="a5"/>
        <w:spacing w:before="0" w:beforeAutospacing="0" w:after="0" w:afterAutospacing="0"/>
        <w:rPr>
          <w:rFonts w:ascii="Microsoft YaHei UI" w:eastAsia="Microsoft YaHei UI" w:hAnsi="Microsoft YaHei UI" w:hint="eastAsia"/>
          <w:color w:val="333333"/>
          <w:sz w:val="17"/>
          <w:szCs w:val="17"/>
        </w:rPr>
      </w:pPr>
    </w:p>
    <w:p w:rsidR="00DE07F2" w:rsidRDefault="00DE07F2" w:rsidP="00DE07F2">
      <w:pPr>
        <w:pStyle w:val="a5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z w:val="17"/>
          <w:szCs w:val="17"/>
        </w:rPr>
      </w:pPr>
      <w:r>
        <w:rPr>
          <w:rStyle w:val="a6"/>
          <w:rFonts w:ascii="Microsoft YaHei UI" w:eastAsia="Microsoft YaHei UI" w:hAnsi="Microsoft YaHei UI" w:hint="eastAsia"/>
          <w:color w:val="000000"/>
          <w:shd w:val="clear" w:color="auto" w:fill="73FCD6"/>
        </w:rPr>
        <w:t>甲醇</w:t>
      </w:r>
    </w:p>
    <w:p w:rsidR="00DE07F2" w:rsidRDefault="00DE07F2" w:rsidP="00DE07F2">
      <w:pPr>
        <w:pStyle w:val="a5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z w:val="17"/>
          <w:szCs w:val="17"/>
        </w:rPr>
      </w:pPr>
      <w:r>
        <w:rPr>
          <w:rStyle w:val="a6"/>
          <w:rFonts w:ascii="Microsoft YaHei UI" w:eastAsia="Microsoft YaHei UI" w:hAnsi="Microsoft YaHei UI" w:hint="eastAsia"/>
          <w:color w:val="333333"/>
          <w:sz w:val="17"/>
          <w:szCs w:val="17"/>
        </w:rPr>
        <w:t>甲醇第一阶段季节性周期结束或进入第二阶段</w:t>
      </w:r>
    </w:p>
    <w:p w:rsidR="00DE07F2" w:rsidRDefault="00DE07F2" w:rsidP="00DE07F2">
      <w:pPr>
        <w:pStyle w:val="a5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z w:val="17"/>
          <w:szCs w:val="17"/>
        </w:rPr>
      </w:pPr>
      <w:r>
        <w:rPr>
          <w:rStyle w:val="a6"/>
          <w:rFonts w:ascii="Microsoft YaHei UI" w:eastAsia="Microsoft YaHei UI" w:hAnsi="Microsoft YaHei UI" w:hint="eastAsia"/>
          <w:color w:val="333333"/>
          <w:sz w:val="17"/>
          <w:szCs w:val="17"/>
        </w:rPr>
        <w:t>（震荡）</w:t>
      </w:r>
    </w:p>
    <w:p w:rsidR="00DE07F2" w:rsidRDefault="00DE07F2" w:rsidP="00DE07F2">
      <w:pPr>
        <w:pStyle w:val="a5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z w:val="17"/>
          <w:szCs w:val="17"/>
        </w:rPr>
      </w:pPr>
    </w:p>
    <w:p w:rsidR="00DE07F2" w:rsidRDefault="00DE07F2" w:rsidP="00DE07F2">
      <w:pPr>
        <w:pStyle w:val="a5"/>
        <w:spacing w:before="0" w:beforeAutospacing="0" w:afterAutospacing="0"/>
        <w:jc w:val="both"/>
        <w:rPr>
          <w:rFonts w:ascii="Microsoft YaHei UI" w:eastAsia="Microsoft YaHei UI" w:hAnsi="Microsoft YaHei UI" w:hint="eastAsia"/>
          <w:color w:val="333333"/>
          <w:sz w:val="17"/>
          <w:szCs w:val="17"/>
        </w:rPr>
      </w:pPr>
      <w:r>
        <w:rPr>
          <w:rFonts w:ascii="Microsoft YaHei UI" w:eastAsia="Microsoft YaHei UI" w:hAnsi="Microsoft YaHei UI" w:hint="eastAsia"/>
          <w:color w:val="333333"/>
          <w:sz w:val="17"/>
          <w:szCs w:val="17"/>
        </w:rPr>
        <w:t>1. 甲醇第一阶段季节性因素基本结束，或进入第二阶段。</w:t>
      </w:r>
    </w:p>
    <w:p w:rsidR="00DE07F2" w:rsidRDefault="00DE07F2" w:rsidP="00DE07F2">
      <w:pPr>
        <w:pStyle w:val="a5"/>
        <w:spacing w:before="0" w:beforeAutospacing="0" w:afterAutospacing="0"/>
        <w:jc w:val="both"/>
        <w:rPr>
          <w:rFonts w:ascii="Microsoft YaHei UI" w:eastAsia="Microsoft YaHei UI" w:hAnsi="Microsoft YaHei UI" w:hint="eastAsia"/>
          <w:color w:val="333333"/>
          <w:sz w:val="17"/>
          <w:szCs w:val="17"/>
        </w:rPr>
      </w:pPr>
      <w:r>
        <w:rPr>
          <w:rFonts w:ascii="Microsoft YaHei UI" w:eastAsia="Microsoft YaHei UI" w:hAnsi="Microsoft YaHei UI" w:hint="eastAsia"/>
          <w:color w:val="333333"/>
          <w:sz w:val="17"/>
          <w:szCs w:val="17"/>
        </w:rPr>
        <w:t>2. 随着检修的陆续结束，甲醇上游开工明显回升，但随着价格的下行，上游利润同步回落。</w:t>
      </w:r>
    </w:p>
    <w:p w:rsidR="00DE07F2" w:rsidRDefault="00DE07F2" w:rsidP="00DE07F2">
      <w:pPr>
        <w:pStyle w:val="a5"/>
        <w:spacing w:before="0" w:beforeAutospacing="0" w:afterAutospacing="0"/>
        <w:jc w:val="both"/>
        <w:rPr>
          <w:rFonts w:ascii="Microsoft YaHei UI" w:eastAsia="Microsoft YaHei UI" w:hAnsi="Microsoft YaHei UI" w:hint="eastAsia"/>
          <w:color w:val="333333"/>
          <w:sz w:val="17"/>
          <w:szCs w:val="17"/>
        </w:rPr>
      </w:pPr>
      <w:r>
        <w:rPr>
          <w:rFonts w:ascii="Microsoft YaHei UI" w:eastAsia="Microsoft YaHei UI" w:hAnsi="Microsoft YaHei UI" w:hint="eastAsia"/>
          <w:color w:val="333333"/>
          <w:sz w:val="17"/>
          <w:szCs w:val="17"/>
        </w:rPr>
        <w:t>3. 下游利润上涨明显，开工率走强，MTO处于高位运行。</w:t>
      </w:r>
    </w:p>
    <w:p w:rsidR="00DE07F2" w:rsidRDefault="00DE07F2" w:rsidP="00DE07F2">
      <w:pPr>
        <w:pStyle w:val="a5"/>
        <w:spacing w:before="0" w:beforeAutospacing="0" w:afterAutospacing="0"/>
        <w:jc w:val="both"/>
        <w:rPr>
          <w:rFonts w:ascii="Microsoft YaHei UI" w:eastAsia="Microsoft YaHei UI" w:hAnsi="Microsoft YaHei UI" w:hint="eastAsia"/>
          <w:color w:val="333333"/>
          <w:sz w:val="17"/>
          <w:szCs w:val="17"/>
        </w:rPr>
      </w:pPr>
      <w:r>
        <w:rPr>
          <w:rFonts w:ascii="Microsoft YaHei UI" w:eastAsia="Microsoft YaHei UI" w:hAnsi="Microsoft YaHei UI" w:hint="eastAsia"/>
          <w:color w:val="333333"/>
          <w:sz w:val="17"/>
          <w:szCs w:val="17"/>
        </w:rPr>
        <w:t>4. 港口库存或再次转入累库阶段，未来大概率重回高库存。</w:t>
      </w:r>
    </w:p>
    <w:p w:rsidR="00DE07F2" w:rsidRDefault="00DE07F2" w:rsidP="00DE07F2">
      <w:pPr>
        <w:pStyle w:val="a5"/>
        <w:spacing w:before="0" w:beforeAutospacing="0" w:afterAutospacing="0"/>
        <w:jc w:val="both"/>
        <w:rPr>
          <w:rFonts w:ascii="Microsoft YaHei UI" w:eastAsia="Microsoft YaHei UI" w:hAnsi="Microsoft YaHei UI" w:hint="eastAsia"/>
          <w:color w:val="333333"/>
          <w:sz w:val="17"/>
          <w:szCs w:val="17"/>
        </w:rPr>
      </w:pPr>
      <w:r>
        <w:rPr>
          <w:rFonts w:ascii="Microsoft YaHei UI" w:eastAsia="Microsoft YaHei UI" w:hAnsi="Microsoft YaHei UI" w:hint="eastAsia"/>
          <w:color w:val="333333"/>
          <w:sz w:val="17"/>
          <w:szCs w:val="17"/>
        </w:rPr>
        <w:t>5. 后市展望，甲醇或长期维持“三高”状况（高开工率、高库存、高利润），但由于价格已濒临上游停车线，因此绝对价格的下行空间相对有限。</w:t>
      </w:r>
    </w:p>
    <w:p w:rsidR="00DE07F2" w:rsidRDefault="00DE07F2" w:rsidP="00DE07F2">
      <w:pPr>
        <w:pStyle w:val="a5"/>
        <w:spacing w:before="0" w:beforeAutospacing="0" w:afterAutospacing="0"/>
        <w:jc w:val="both"/>
        <w:rPr>
          <w:rFonts w:ascii="Microsoft YaHei UI" w:eastAsia="Microsoft YaHei UI" w:hAnsi="Microsoft YaHei UI" w:hint="eastAsia"/>
          <w:color w:val="333333"/>
          <w:sz w:val="17"/>
          <w:szCs w:val="17"/>
        </w:rPr>
      </w:pPr>
      <w:r>
        <w:rPr>
          <w:rFonts w:ascii="Microsoft YaHei UI" w:eastAsia="Microsoft YaHei UI" w:hAnsi="Microsoft YaHei UI" w:hint="eastAsia"/>
          <w:color w:val="333333"/>
          <w:sz w:val="17"/>
          <w:szCs w:val="17"/>
        </w:rPr>
        <w:t>6. 本周甲醇以宽幅区间震荡的思路参与交易。</w:t>
      </w:r>
    </w:p>
    <w:p w:rsidR="00DE07F2" w:rsidRDefault="00DE07F2" w:rsidP="00DE07F2">
      <w:pPr>
        <w:pStyle w:val="a5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z w:val="17"/>
          <w:szCs w:val="17"/>
        </w:rPr>
      </w:pPr>
    </w:p>
    <w:p w:rsidR="00DE07F2" w:rsidRDefault="00DE07F2" w:rsidP="00DE07F2">
      <w:pPr>
        <w:pStyle w:val="a5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z w:val="17"/>
          <w:szCs w:val="17"/>
        </w:rPr>
      </w:pPr>
    </w:p>
    <w:p w:rsidR="00DE07F2" w:rsidRDefault="00DE07F2" w:rsidP="00DE07F2">
      <w:pPr>
        <w:pStyle w:val="a5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z w:val="17"/>
          <w:szCs w:val="17"/>
        </w:rPr>
      </w:pPr>
      <w:r>
        <w:rPr>
          <w:rStyle w:val="a6"/>
          <w:rFonts w:ascii="Microsoft YaHei UI" w:eastAsia="Microsoft YaHei UI" w:hAnsi="Microsoft YaHei UI" w:hint="eastAsia"/>
          <w:color w:val="333333"/>
          <w:shd w:val="clear" w:color="auto" w:fill="D4FA00"/>
        </w:rPr>
        <w:t>油脂类</w:t>
      </w:r>
    </w:p>
    <w:p w:rsidR="00DE07F2" w:rsidRDefault="00DE07F2" w:rsidP="00DE07F2">
      <w:pPr>
        <w:pStyle w:val="a5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z w:val="17"/>
          <w:szCs w:val="17"/>
        </w:rPr>
      </w:pPr>
      <w:r>
        <w:rPr>
          <w:rStyle w:val="a6"/>
          <w:rFonts w:ascii="Microsoft YaHei UI" w:eastAsia="Microsoft YaHei UI" w:hAnsi="Microsoft YaHei UI" w:hint="eastAsia"/>
          <w:color w:val="333333"/>
          <w:sz w:val="17"/>
          <w:szCs w:val="17"/>
        </w:rPr>
        <w:t>价格接近低位，短期有望反弹</w:t>
      </w:r>
    </w:p>
    <w:p w:rsidR="00DE07F2" w:rsidRDefault="00DE07F2" w:rsidP="00DE07F2">
      <w:pPr>
        <w:pStyle w:val="a5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z w:val="17"/>
          <w:szCs w:val="17"/>
        </w:rPr>
      </w:pPr>
    </w:p>
    <w:p w:rsidR="00DE07F2" w:rsidRDefault="00DE07F2" w:rsidP="00DE07F2">
      <w:pPr>
        <w:pStyle w:val="a5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z w:val="17"/>
          <w:szCs w:val="17"/>
        </w:rPr>
      </w:pPr>
      <w:r>
        <w:rPr>
          <w:rFonts w:ascii="Microsoft YaHei UI" w:eastAsia="Microsoft YaHei UI" w:hAnsi="Microsoft YaHei UI" w:hint="eastAsia"/>
          <w:color w:val="333333"/>
          <w:sz w:val="17"/>
          <w:szCs w:val="17"/>
        </w:rPr>
        <w:t>1、大方向延续前期观点，即当前豆棕油脂价格上有压力、下有支撑，价格仍将处于宽幅震荡区间当中。短期来看，豆棕油脂距离强支撑较近，反弹概率增加。</w:t>
      </w:r>
    </w:p>
    <w:p w:rsidR="00DE07F2" w:rsidRDefault="00DE07F2" w:rsidP="00DE07F2">
      <w:pPr>
        <w:pStyle w:val="a5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z w:val="17"/>
          <w:szCs w:val="17"/>
        </w:rPr>
      </w:pPr>
      <w:r>
        <w:rPr>
          <w:rFonts w:ascii="Microsoft YaHei UI" w:eastAsia="Microsoft YaHei UI" w:hAnsi="Microsoft YaHei UI" w:hint="eastAsia"/>
          <w:color w:val="333333"/>
          <w:sz w:val="17"/>
          <w:szCs w:val="17"/>
        </w:rPr>
        <w:lastRenderedPageBreak/>
        <w:t>2、棕榈油方面，国内港口库存维持高位，产地棕榈油再过节期间利空频传，短期内让棕榈油价格大幅下探。但当前利空基本释放完毕，市场风险情绪在短期内有望修复，且当前价格再度接近历史极值，短期来看反弹概率正在不断积累。</w:t>
      </w:r>
    </w:p>
    <w:p w:rsidR="00DE07F2" w:rsidRDefault="00DE07F2" w:rsidP="00DE07F2">
      <w:pPr>
        <w:pStyle w:val="a5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z w:val="17"/>
          <w:szCs w:val="17"/>
        </w:rPr>
      </w:pPr>
      <w:r>
        <w:rPr>
          <w:rFonts w:ascii="Microsoft YaHei UI" w:eastAsia="Microsoft YaHei UI" w:hAnsi="Microsoft YaHei UI" w:hint="eastAsia"/>
          <w:color w:val="333333"/>
          <w:sz w:val="17"/>
          <w:szCs w:val="17"/>
        </w:rPr>
        <w:t>3、豆油方面，前期南美大豆丰产以及全球大豆的高库存的背景下，豆油价格出现大幅下跌，与棕榈油类似，当前价格接近历史低位，利空基本被释放，因而短期继续下行的概率较低。但当前的油脂基本面并不支持出现大牛市，因此我们认为豆棕两油价格仍将维持宽幅震荡。</w:t>
      </w:r>
    </w:p>
    <w:p w:rsidR="00DE07F2" w:rsidRDefault="00DE07F2" w:rsidP="00DE07F2">
      <w:pPr>
        <w:pStyle w:val="a5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z w:val="17"/>
          <w:szCs w:val="17"/>
        </w:rPr>
      </w:pPr>
      <w:r>
        <w:rPr>
          <w:rFonts w:ascii="Microsoft YaHei UI" w:eastAsia="Microsoft YaHei UI" w:hAnsi="Microsoft YaHei UI" w:hint="eastAsia"/>
          <w:color w:val="333333"/>
          <w:sz w:val="17"/>
          <w:szCs w:val="17"/>
        </w:rPr>
        <w:t>4、豆棕价差方面，后期大方向考虑多豆空棕，但目前价差性价比偏低，建议耐心等待。</w:t>
      </w:r>
    </w:p>
    <w:p w:rsidR="00DE07F2" w:rsidRDefault="00DE07F2" w:rsidP="00DE07F2">
      <w:pPr>
        <w:pStyle w:val="a5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z w:val="17"/>
          <w:szCs w:val="17"/>
        </w:rPr>
      </w:pPr>
    </w:p>
    <w:p w:rsidR="00DE07F2" w:rsidRDefault="00DE07F2" w:rsidP="00DE07F2">
      <w:pPr>
        <w:pStyle w:val="a5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z w:val="17"/>
          <w:szCs w:val="17"/>
        </w:rPr>
      </w:pPr>
    </w:p>
    <w:p w:rsidR="00DE07F2" w:rsidRDefault="00DE07F2" w:rsidP="00DE07F2">
      <w:pPr>
        <w:pStyle w:val="a5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z w:val="17"/>
          <w:szCs w:val="17"/>
        </w:rPr>
      </w:pPr>
      <w:r>
        <w:rPr>
          <w:rFonts w:ascii="Microsoft YaHei UI" w:eastAsia="Microsoft YaHei UI" w:hAnsi="Microsoft YaHei UI" w:hint="eastAsia"/>
          <w:color w:val="333333"/>
          <w:sz w:val="17"/>
          <w:szCs w:val="17"/>
        </w:rPr>
        <w:t>  </w:t>
      </w:r>
      <w:r>
        <w:rPr>
          <w:rStyle w:val="a6"/>
          <w:rFonts w:ascii="Microsoft YaHei UI" w:eastAsia="Microsoft YaHei UI" w:hAnsi="Microsoft YaHei UI" w:hint="eastAsia"/>
          <w:color w:val="333333"/>
          <w:shd w:val="clear" w:color="auto" w:fill="FFFB00"/>
        </w:rPr>
        <w:t>玉米&amp;淀粉</w:t>
      </w:r>
    </w:p>
    <w:p w:rsidR="00DE07F2" w:rsidRDefault="00DE07F2" w:rsidP="00DE07F2">
      <w:pPr>
        <w:pStyle w:val="a5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z w:val="17"/>
          <w:szCs w:val="17"/>
        </w:rPr>
      </w:pPr>
      <w:r>
        <w:rPr>
          <w:rFonts w:ascii="Microsoft YaHei UI" w:eastAsia="Microsoft YaHei UI" w:hAnsi="Microsoft YaHei UI" w:hint="eastAsia"/>
          <w:color w:val="333333"/>
          <w:sz w:val="17"/>
          <w:szCs w:val="17"/>
        </w:rPr>
        <w:t>         </w:t>
      </w:r>
      <w:r>
        <w:rPr>
          <w:rStyle w:val="a6"/>
          <w:rFonts w:ascii="Microsoft YaHei UI" w:eastAsia="Microsoft YaHei UI" w:hAnsi="Microsoft YaHei UI" w:hint="eastAsia"/>
          <w:color w:val="333333"/>
          <w:sz w:val="17"/>
          <w:szCs w:val="17"/>
        </w:rPr>
        <w:t>供给相对较少，需求没有明显好转</w:t>
      </w:r>
    </w:p>
    <w:p w:rsidR="00DE07F2" w:rsidRDefault="00DE07F2" w:rsidP="00DE07F2">
      <w:pPr>
        <w:pStyle w:val="a5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z w:val="17"/>
          <w:szCs w:val="17"/>
        </w:rPr>
      </w:pPr>
    </w:p>
    <w:p w:rsidR="00DE07F2" w:rsidRDefault="00DE07F2" w:rsidP="00DE07F2">
      <w:pPr>
        <w:pStyle w:val="a5"/>
        <w:spacing w:before="0" w:beforeAutospacing="0" w:afterAutospacing="0"/>
        <w:jc w:val="both"/>
        <w:rPr>
          <w:rFonts w:ascii="Microsoft YaHei UI" w:eastAsia="Microsoft YaHei UI" w:hAnsi="Microsoft YaHei UI" w:hint="eastAsia"/>
          <w:color w:val="333333"/>
          <w:sz w:val="17"/>
          <w:szCs w:val="17"/>
        </w:rPr>
      </w:pPr>
      <w:r>
        <w:rPr>
          <w:rFonts w:ascii="Microsoft YaHei UI" w:eastAsia="Microsoft YaHei UI" w:hAnsi="Microsoft YaHei UI" w:hint="eastAsia"/>
          <w:color w:val="333333"/>
          <w:sz w:val="17"/>
          <w:szCs w:val="17"/>
        </w:rPr>
        <w:t>1．贸易谈判进展顺利，替代谷物进口预期担忧情绪仍在，近几个月配额内进口玉米陆续到港 </w:t>
      </w:r>
    </w:p>
    <w:p w:rsidR="00DE07F2" w:rsidRDefault="00DE07F2" w:rsidP="00DE07F2">
      <w:pPr>
        <w:pStyle w:val="a5"/>
        <w:spacing w:before="0" w:beforeAutospacing="0" w:afterAutospacing="0"/>
        <w:jc w:val="both"/>
        <w:rPr>
          <w:rFonts w:ascii="Microsoft YaHei UI" w:eastAsia="Microsoft YaHei UI" w:hAnsi="Microsoft YaHei UI" w:hint="eastAsia"/>
          <w:color w:val="333333"/>
          <w:sz w:val="17"/>
          <w:szCs w:val="17"/>
        </w:rPr>
      </w:pPr>
      <w:r>
        <w:rPr>
          <w:rFonts w:ascii="Microsoft YaHei UI" w:eastAsia="Microsoft YaHei UI" w:hAnsi="Microsoft YaHei UI" w:hint="eastAsia"/>
          <w:color w:val="333333"/>
          <w:sz w:val="17"/>
          <w:szCs w:val="17"/>
        </w:rPr>
        <w:t>2.基层粮基本售完，从新粮收购看，截止4月10日，玉米收购10099万吨，同比增加848万吨。新季度种植即将开始，预计种植面积小幅减少。</w:t>
      </w:r>
    </w:p>
    <w:p w:rsidR="00DE07F2" w:rsidRDefault="00DE07F2" w:rsidP="00DE07F2">
      <w:pPr>
        <w:pStyle w:val="a5"/>
        <w:spacing w:before="0" w:beforeAutospacing="0" w:afterAutospacing="0"/>
        <w:jc w:val="both"/>
        <w:rPr>
          <w:rFonts w:ascii="Microsoft YaHei UI" w:eastAsia="Microsoft YaHei UI" w:hAnsi="Microsoft YaHei UI" w:hint="eastAsia"/>
          <w:color w:val="333333"/>
          <w:sz w:val="17"/>
          <w:szCs w:val="17"/>
        </w:rPr>
      </w:pPr>
      <w:r>
        <w:rPr>
          <w:rFonts w:ascii="Microsoft YaHei UI" w:eastAsia="Microsoft YaHei UI" w:hAnsi="Microsoft YaHei UI" w:hint="eastAsia"/>
          <w:color w:val="333333"/>
          <w:sz w:val="17"/>
          <w:szCs w:val="17"/>
        </w:rPr>
        <w:t>3. 生猪存栏环比下降，猪肉价格小幅上涨，养殖利润小幅回升，饲料需求仍没有明显好转。</w:t>
      </w:r>
    </w:p>
    <w:p w:rsidR="00DE07F2" w:rsidRDefault="00DE07F2" w:rsidP="00DE07F2">
      <w:pPr>
        <w:pStyle w:val="a5"/>
        <w:spacing w:before="0" w:beforeAutospacing="0" w:afterAutospacing="0"/>
        <w:jc w:val="both"/>
        <w:rPr>
          <w:rFonts w:ascii="Microsoft YaHei UI" w:eastAsia="Microsoft YaHei UI" w:hAnsi="Microsoft YaHei UI" w:hint="eastAsia"/>
          <w:color w:val="333333"/>
          <w:sz w:val="17"/>
          <w:szCs w:val="17"/>
        </w:rPr>
      </w:pPr>
      <w:r>
        <w:rPr>
          <w:rFonts w:ascii="Microsoft YaHei UI" w:eastAsia="Microsoft YaHei UI" w:hAnsi="Microsoft YaHei UI" w:hint="eastAsia"/>
          <w:color w:val="333333"/>
          <w:sz w:val="17"/>
          <w:szCs w:val="17"/>
        </w:rPr>
        <w:t>4. 玉米现货微降，淀粉价格基本持平。</w:t>
      </w:r>
    </w:p>
    <w:p w:rsidR="00DE07F2" w:rsidRDefault="00DE07F2" w:rsidP="00DE07F2">
      <w:pPr>
        <w:pStyle w:val="a5"/>
        <w:spacing w:before="0" w:beforeAutospacing="0" w:afterAutospacing="0"/>
        <w:jc w:val="both"/>
        <w:rPr>
          <w:rFonts w:ascii="Microsoft YaHei UI" w:eastAsia="Microsoft YaHei UI" w:hAnsi="Microsoft YaHei UI" w:hint="eastAsia"/>
          <w:color w:val="333333"/>
          <w:sz w:val="17"/>
          <w:szCs w:val="17"/>
        </w:rPr>
      </w:pPr>
      <w:r>
        <w:rPr>
          <w:rFonts w:ascii="Microsoft YaHei UI" w:eastAsia="Microsoft YaHei UI" w:hAnsi="Microsoft YaHei UI" w:hint="eastAsia"/>
          <w:color w:val="333333"/>
          <w:sz w:val="17"/>
          <w:szCs w:val="17"/>
        </w:rPr>
        <w:t>5. 深加工开机率高位运行，淀粉库存小幅减少。</w:t>
      </w:r>
    </w:p>
    <w:p w:rsidR="00DE07F2" w:rsidRDefault="00DE07F2" w:rsidP="00DE07F2">
      <w:pPr>
        <w:pStyle w:val="a5"/>
        <w:spacing w:before="0" w:beforeAutospacing="0" w:afterAutospacing="0"/>
        <w:jc w:val="both"/>
        <w:rPr>
          <w:rFonts w:ascii="Microsoft YaHei UI" w:eastAsia="Microsoft YaHei UI" w:hAnsi="Microsoft YaHei UI" w:hint="eastAsia"/>
          <w:color w:val="333333"/>
          <w:sz w:val="17"/>
          <w:szCs w:val="17"/>
        </w:rPr>
      </w:pPr>
      <w:r>
        <w:rPr>
          <w:rFonts w:ascii="Microsoft YaHei UI" w:eastAsia="Microsoft YaHei UI" w:hAnsi="Microsoft YaHei UI" w:hint="eastAsia"/>
          <w:color w:val="333333"/>
          <w:sz w:val="17"/>
          <w:szCs w:val="17"/>
        </w:rPr>
        <w:t>       综上，基层量基本已经售完，进口玉米陆续到港，贸易谈判进展顺利，仍存进口预期担忧，猪肉价格上涨，存栏继续下降，饲料需求短期难有起色，深加工开机仍然很高，玉米最近涨势明显，操作上逐步减仓，价格回调后继续买单进场，价差方面逐渐向91月过渡。  </w:t>
      </w:r>
    </w:p>
    <w:p w:rsidR="00DE07F2" w:rsidRDefault="00DE07F2" w:rsidP="00DE07F2">
      <w:pPr>
        <w:pStyle w:val="a5"/>
        <w:spacing w:before="0" w:beforeAutospacing="0" w:after="0" w:afterAutospacing="0"/>
        <w:rPr>
          <w:rFonts w:ascii="Microsoft YaHei UI" w:eastAsia="Microsoft YaHei UI" w:hAnsi="Microsoft YaHei UI" w:hint="eastAsia"/>
          <w:color w:val="333333"/>
          <w:sz w:val="17"/>
          <w:szCs w:val="17"/>
        </w:rPr>
      </w:pPr>
    </w:p>
    <w:p w:rsidR="00DE07F2" w:rsidRDefault="00DE07F2" w:rsidP="00DE07F2">
      <w:pPr>
        <w:pStyle w:val="a5"/>
        <w:spacing w:before="0" w:beforeAutospacing="0" w:after="0" w:afterAutospacing="0"/>
        <w:rPr>
          <w:rFonts w:ascii="Microsoft YaHei UI" w:eastAsia="Microsoft YaHei UI" w:hAnsi="Microsoft YaHei UI" w:hint="eastAsia"/>
          <w:color w:val="333333"/>
          <w:sz w:val="17"/>
          <w:szCs w:val="17"/>
        </w:rPr>
      </w:pPr>
      <w:r>
        <w:rPr>
          <w:rStyle w:val="a6"/>
          <w:rFonts w:ascii="Microsoft YaHei UI" w:eastAsia="Microsoft YaHei UI" w:hAnsi="Microsoft YaHei UI" w:hint="eastAsia"/>
          <w:color w:val="000000"/>
          <w:sz w:val="15"/>
          <w:szCs w:val="15"/>
        </w:rPr>
        <w:t>免责声明：本研究报告由金鹏经济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 </w:t>
      </w:r>
    </w:p>
    <w:p w:rsidR="00DB0665" w:rsidRPr="00DE07F2" w:rsidRDefault="00DB0665"/>
    <w:sectPr w:rsidR="00DB0665" w:rsidRPr="00DE0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665" w:rsidRDefault="00DB0665" w:rsidP="00DE07F2">
      <w:r>
        <w:separator/>
      </w:r>
    </w:p>
  </w:endnote>
  <w:endnote w:type="continuationSeparator" w:id="1">
    <w:p w:rsidR="00DB0665" w:rsidRDefault="00DB0665" w:rsidP="00DE0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665" w:rsidRDefault="00DB0665" w:rsidP="00DE07F2">
      <w:r>
        <w:separator/>
      </w:r>
    </w:p>
  </w:footnote>
  <w:footnote w:type="continuationSeparator" w:id="1">
    <w:p w:rsidR="00DB0665" w:rsidRDefault="00DB0665" w:rsidP="00DE07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7F2"/>
    <w:rsid w:val="00DB0665"/>
    <w:rsid w:val="00DE0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0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07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0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07F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E07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E07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2019-05-08T12:15:00Z</dcterms:created>
  <dcterms:modified xsi:type="dcterms:W3CDTF">2019-05-08T12:15:00Z</dcterms:modified>
</cp:coreProperties>
</file>