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0C" w:rsidRDefault="00581F0C" w:rsidP="00581F0C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4C00"/>
          <w:sz w:val="27"/>
          <w:szCs w:val="27"/>
        </w:rPr>
        <w:t>多因素叠加，</w:t>
      </w:r>
      <w:proofErr w:type="gramStart"/>
      <w:r>
        <w:rPr>
          <w:rStyle w:val="a6"/>
          <w:rFonts w:ascii="微软雅黑" w:eastAsia="微软雅黑" w:hAnsi="微软雅黑" w:hint="eastAsia"/>
          <w:color w:val="FF4C00"/>
          <w:sz w:val="27"/>
          <w:szCs w:val="27"/>
        </w:rPr>
        <w:t>天胶震荡</w:t>
      </w:r>
      <w:proofErr w:type="gramEnd"/>
      <w:r>
        <w:rPr>
          <w:rStyle w:val="a6"/>
          <w:rFonts w:ascii="微软雅黑" w:eastAsia="微软雅黑" w:hAnsi="微软雅黑" w:hint="eastAsia"/>
          <w:color w:val="FF4C00"/>
          <w:sz w:val="27"/>
          <w:szCs w:val="27"/>
        </w:rPr>
        <w:t>上行 </w:t>
      </w:r>
    </w:p>
    <w:p w:rsidR="00581F0C" w:rsidRDefault="00581F0C" w:rsidP="00581F0C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z w:val="26"/>
          <w:szCs w:val="26"/>
        </w:rPr>
        <w:drawing>
          <wp:inline distT="0" distB="0" distL="0" distR="0">
            <wp:extent cx="4762500" cy="3171825"/>
            <wp:effectExtent l="19050" t="0" r="0" b="0"/>
            <wp:docPr id="1" name="图片 1" descr="https://mmbiz.qpic.cn/mmbiz_jpg/LBX4T1S9UVFYeSc5goeTD8LYUF4IygGKKolaFW7L6PRXJHkySvQUm7JILT21KKJk4YqLyoiawIvvG4sFtMpwfa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FYeSc5goeTD8LYUF4IygGKKolaFW7L6PRXJHkySvQUm7JILT21KKJk4YqLyoiawIvvG4sFtMpwfaw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0C" w:rsidRDefault="00581F0C" w:rsidP="00581F0C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近期东南亚产区持续的高温少雨，导致了割胶不力，产量有限。国内产区天气也不大乐观，云南出现罕见的高温预警，大部分产胶区域高温严重，降雨量偏少。近期多关注东南亚和我国云南和海南主产区天气状况，持续高温少雨短期内会对期价有一定影响。近期天然橡胶现货价格表现坚挺。</w:t>
      </w:r>
    </w:p>
    <w:p w:rsidR="00581F0C" w:rsidRDefault="00581F0C" w:rsidP="00581F0C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中美贸易磋商可能会持续较长时间，积极关注磋商进展情况，阶段性的磋商结果可能对期现货价格变化都会有所影响。根据市场变化，实时调整应对策略。</w:t>
      </w:r>
    </w:p>
    <w:p w:rsidR="00581F0C" w:rsidRDefault="00581F0C" w:rsidP="00581F0C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另据贵州轮胎5月9日晚间公告称，5月7日，美国商务部宣布撤销对中国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非公路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用轮胎的反倾销和反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补贴税令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(“双反”令)。此次撤销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非公路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用轮胎“双反”令，对我国相关轮胎生产企业恢复对美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出口非公路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用轮胎将产生积极的影响。</w:t>
      </w:r>
    </w:p>
    <w:p w:rsidR="00581F0C" w:rsidRDefault="00581F0C" w:rsidP="00581F0C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5月20日，泰国政府大选过后，即将在20日实施商议限制橡胶出口具体事宜，具体实施措施，短期将影响市场价格波动。 </w:t>
      </w:r>
    </w:p>
    <w:p w:rsidR="00581F0C" w:rsidRDefault="00581F0C" w:rsidP="00581F0C">
      <w:pPr>
        <w:pStyle w:val="a5"/>
        <w:spacing w:before="0" w:beforeAutospacing="0" w:after="15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海关严查“混合胶”，使价格产生明显波动。据了解，海关总署于4月28日下发通知，要求对目前通过40028000税则号报关进口的混合胶，需要查验为完全天然橡胶与合成橡胶混合物。对于仅表面有合成胶的混合物橡胶，需按4001报关并征税。</w:t>
      </w: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由于政策收紧，报关通关时间可能会有所延长。部分生产企业备货达到了20天以上。现货价格的持续上涨，带动了期货的上涨。近期保税区区内外库存连续4周下滑，原料及现货价格坚挺，多因素对盘面形成支撑，近一周橡胶盘面维持偏强振荡走势。</w:t>
      </w: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开工率方面：</w:t>
      </w: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截止2019年5月10日，山东地区全钢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胎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开工负荷71.27%，国内轮胎企业半钢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胎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开工负荷为68.21%。需求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端保持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稳定。</w:t>
      </w: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</w:rPr>
        <w:t>库存方面：</w:t>
      </w: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截止2019年5月10日，上期所天然橡胶库存429824（-1114）吨，仓单420970（2850）吨。有数据称，青岛保税区橡胶库存维持在20万-25万吨，区外库存维持在45万吨左右，总量处于历史偏高水平。</w:t>
      </w: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0052FF"/>
          <w:sz w:val="26"/>
          <w:szCs w:val="26"/>
        </w:rPr>
        <w:t>操作建议：</w:t>
      </w: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由于近期影响市场因素相对较多，市场波动比较明显。短期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期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价有望继续上行，波动区间有望扩大，关注11500-13410区间。操作上可逢低尝试短多操作。未出趋势性行情之前，建议轻仓操作。</w:t>
      </w: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581F0C" w:rsidRDefault="00581F0C" w:rsidP="00581F0C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t> </w:t>
      </w:r>
    </w:p>
    <w:p w:rsidR="004B1435" w:rsidRPr="00581F0C" w:rsidRDefault="004B1435"/>
    <w:sectPr w:rsidR="004B1435" w:rsidRPr="00581F0C" w:rsidSect="004B1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6EE" w:rsidRDefault="00A756EE" w:rsidP="00581F0C">
      <w:r>
        <w:separator/>
      </w:r>
    </w:p>
  </w:endnote>
  <w:endnote w:type="continuationSeparator" w:id="0">
    <w:p w:rsidR="00A756EE" w:rsidRDefault="00A756EE" w:rsidP="0058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6EE" w:rsidRDefault="00A756EE" w:rsidP="00581F0C">
      <w:r>
        <w:separator/>
      </w:r>
    </w:p>
  </w:footnote>
  <w:footnote w:type="continuationSeparator" w:id="0">
    <w:p w:rsidR="00A756EE" w:rsidRDefault="00A756EE" w:rsidP="00581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F0C"/>
    <w:rsid w:val="004B1435"/>
    <w:rsid w:val="00581F0C"/>
    <w:rsid w:val="00A7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F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F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1F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81F0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81F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1F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896</Characters>
  <Application>Microsoft Office Word</Application>
  <DocSecurity>0</DocSecurity>
  <Lines>7</Lines>
  <Paragraphs>2</Paragraphs>
  <ScaleCrop>false</ScaleCrop>
  <Company>IT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2019-05-17T08:17:00Z</dcterms:created>
  <dcterms:modified xsi:type="dcterms:W3CDTF">2019-05-17T08:17:00Z</dcterms:modified>
</cp:coreProperties>
</file>