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350D8A">
        <w:rPr>
          <w:rFonts w:asciiTheme="majorEastAsia" w:eastAsiaTheme="majorEastAsia" w:hAnsiTheme="majorEastAsia" w:hint="eastAsia"/>
          <w:sz w:val="24"/>
        </w:rPr>
        <w:t>909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EC53AB">
        <w:rPr>
          <w:rFonts w:asciiTheme="majorEastAsia" w:eastAsiaTheme="majorEastAsia" w:hAnsiTheme="majorEastAsia" w:hint="eastAsia"/>
          <w:sz w:val="24"/>
        </w:rPr>
        <w:t>924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1B29BF">
        <w:rPr>
          <w:rFonts w:asciiTheme="majorEastAsia" w:eastAsiaTheme="majorEastAsia" w:hAnsiTheme="majorEastAsia" w:hint="eastAsia"/>
          <w:sz w:val="24"/>
        </w:rPr>
        <w:t>2</w:t>
      </w:r>
      <w:r w:rsidR="00EC53AB">
        <w:rPr>
          <w:rFonts w:asciiTheme="majorEastAsia" w:eastAsiaTheme="majorEastAsia" w:hAnsiTheme="majorEastAsia" w:hint="eastAsia"/>
          <w:sz w:val="24"/>
        </w:rPr>
        <w:t>880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EC53AB">
        <w:rPr>
          <w:rFonts w:asciiTheme="majorEastAsia" w:eastAsiaTheme="majorEastAsia" w:hAnsiTheme="majorEastAsia" w:hint="eastAsia"/>
          <w:sz w:val="24"/>
        </w:rPr>
        <w:t>下跌</w:t>
      </w:r>
      <w:r w:rsidR="008E0A40">
        <w:rPr>
          <w:rFonts w:asciiTheme="majorEastAsia" w:eastAsiaTheme="majorEastAsia" w:hAnsiTheme="majorEastAsia" w:hint="eastAsia"/>
          <w:sz w:val="24"/>
        </w:rPr>
        <w:t>1.</w:t>
      </w:r>
      <w:r w:rsidR="00EC53AB">
        <w:rPr>
          <w:rFonts w:asciiTheme="majorEastAsia" w:eastAsiaTheme="majorEastAsia" w:hAnsiTheme="majorEastAsia" w:hint="eastAsia"/>
          <w:sz w:val="24"/>
        </w:rPr>
        <w:t>0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133ABC">
        <w:rPr>
          <w:rFonts w:asciiTheme="majorEastAsia" w:eastAsiaTheme="majorEastAsia" w:hAnsiTheme="majorEastAsia" w:hint="eastAsia"/>
          <w:sz w:val="24"/>
        </w:rPr>
        <w:t>本周开始豆</w:t>
      </w:r>
      <w:proofErr w:type="gramStart"/>
      <w:r w:rsidR="00133ABC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="00133ABC">
        <w:rPr>
          <w:rFonts w:asciiTheme="majorEastAsia" w:eastAsiaTheme="majorEastAsia" w:hAnsiTheme="majorEastAsia" w:hint="eastAsia"/>
          <w:sz w:val="24"/>
        </w:rPr>
        <w:t>延续上周涨势，但周二就有所下跌，周三由于中美领导人通话，中美贸易关系有所缓和的消息，国内豆</w:t>
      </w:r>
      <w:proofErr w:type="gramStart"/>
      <w:r w:rsidR="00133ABC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="00133ABC">
        <w:rPr>
          <w:rFonts w:asciiTheme="majorEastAsia" w:eastAsiaTheme="majorEastAsia" w:hAnsiTheme="majorEastAsia" w:hint="eastAsia"/>
          <w:sz w:val="24"/>
        </w:rPr>
        <w:t>大幅回落，但随后有所企稳，波动趋小。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976F8E" w:rsidRDefault="00976F8E" w:rsidP="00976F8E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976F8E">
        <w:rPr>
          <w:rFonts w:asciiTheme="majorEastAsia" w:eastAsiaTheme="majorEastAsia" w:hAnsiTheme="majorEastAsia" w:hint="eastAsia"/>
          <w:color w:val="000000"/>
          <w:sz w:val="24"/>
        </w:rPr>
        <w:t>气象服务机构</w:t>
      </w:r>
      <w:proofErr w:type="spellStart"/>
      <w:r w:rsidRPr="00976F8E">
        <w:rPr>
          <w:rFonts w:asciiTheme="majorEastAsia" w:eastAsiaTheme="majorEastAsia" w:hAnsiTheme="majorEastAsia" w:hint="eastAsia"/>
          <w:color w:val="000000"/>
          <w:sz w:val="24"/>
        </w:rPr>
        <w:t>Meteorlogix</w:t>
      </w:r>
      <w:proofErr w:type="spellEnd"/>
      <w:r w:rsidRPr="00976F8E">
        <w:rPr>
          <w:rFonts w:asciiTheme="majorEastAsia" w:eastAsiaTheme="majorEastAsia" w:hAnsiTheme="majorEastAsia" w:hint="eastAsia"/>
          <w:color w:val="000000"/>
          <w:sz w:val="24"/>
        </w:rPr>
        <w:t>报道称，潮湿的天气持续令美国中西部地区大豆播种工作受阻及延误，尤其是在南部与东部地区。究竟有多少农田能完成播种目前仍不太确定，因这种潮湿的天气仍尚无结束迹象。美国大平原北部地区降雨量有限，当地大豆播种将得以推进。气温接近至低于正常水平引发适宜作物生长的累计天数减少的忧虑。</w:t>
      </w:r>
    </w:p>
    <w:p w:rsidR="00A66D74" w:rsidRDefault="00976F8E" w:rsidP="00976F8E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976F8E">
        <w:rPr>
          <w:rFonts w:asciiTheme="majorEastAsia" w:eastAsiaTheme="majorEastAsia" w:hAnsiTheme="majorEastAsia" w:hint="eastAsia"/>
          <w:color w:val="000000"/>
          <w:sz w:val="24"/>
        </w:rPr>
        <w:t>美国农业部(USDA)周一在每周作物生长报告中公布称，截至2019年6月16日当周，美国大豆种植率为77%，低于市场预期的79%，之前一周为60%，但仍远远落后于去年同期的96%及五年同期均值93%。</w:t>
      </w:r>
    </w:p>
    <w:p w:rsidR="00976F8E" w:rsidRDefault="00976F8E" w:rsidP="00976F8E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976F8E">
        <w:rPr>
          <w:rFonts w:asciiTheme="majorEastAsia" w:eastAsiaTheme="majorEastAsia" w:hAnsiTheme="majorEastAsia" w:hint="eastAsia"/>
          <w:color w:val="000000"/>
          <w:sz w:val="24"/>
        </w:rPr>
        <w:t>新华社6月18日报道，国家主席习近平18日应约同美国总统特朗普通电话。特朗普表示，期待着同习近平主席在二十国集团领导人大阪峰会期间再次会晤，就双边关系和我们共同关心的问题进行深入沟通。美方重视美中经贸合作，希望双方工作团队能展开沟通，尽早找到解决当前分歧的办法。</w:t>
      </w:r>
    </w:p>
    <w:p w:rsidR="00A000C1" w:rsidRDefault="00A000C1" w:rsidP="00976F8E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BD5698" w:rsidRPr="00C95AB6" w:rsidRDefault="00EC53AB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EC53AB">
        <w:rPr>
          <w:rFonts w:asciiTheme="minorEastAsia" w:hAnsiTheme="minorEastAsia" w:hint="eastAsia"/>
          <w:bCs/>
          <w:sz w:val="24"/>
        </w:rPr>
        <w:t>今日，国内豆</w:t>
      </w:r>
      <w:proofErr w:type="gramStart"/>
      <w:r w:rsidRPr="00EC53AB">
        <w:rPr>
          <w:rFonts w:asciiTheme="minorEastAsia" w:hAnsiTheme="minorEastAsia" w:hint="eastAsia"/>
          <w:bCs/>
          <w:sz w:val="24"/>
        </w:rPr>
        <w:t>粕</w:t>
      </w:r>
      <w:proofErr w:type="gramEnd"/>
      <w:r w:rsidRPr="00EC53AB">
        <w:rPr>
          <w:rFonts w:asciiTheme="minorEastAsia" w:hAnsiTheme="minorEastAsia" w:hint="eastAsia"/>
          <w:bCs/>
          <w:sz w:val="24"/>
        </w:rPr>
        <w:t>现货行情偏强20元左右。其中，大连地区油厂豆</w:t>
      </w:r>
      <w:proofErr w:type="gramStart"/>
      <w:r w:rsidRPr="00EC53AB">
        <w:rPr>
          <w:rFonts w:asciiTheme="minorEastAsia" w:hAnsiTheme="minorEastAsia" w:hint="eastAsia"/>
          <w:bCs/>
          <w:sz w:val="24"/>
        </w:rPr>
        <w:t>粕</w:t>
      </w:r>
      <w:proofErr w:type="gramEnd"/>
      <w:r w:rsidRPr="00EC53AB">
        <w:rPr>
          <w:rFonts w:asciiTheme="minorEastAsia" w:hAnsiTheme="minorEastAsia" w:hint="eastAsia"/>
          <w:bCs/>
          <w:sz w:val="24"/>
        </w:rPr>
        <w:t>价格：43%蛋白：6-</w:t>
      </w:r>
      <w:proofErr w:type="gramStart"/>
      <w:r w:rsidRPr="00EC53AB">
        <w:rPr>
          <w:rFonts w:asciiTheme="minorEastAsia" w:hAnsiTheme="minorEastAsia" w:hint="eastAsia"/>
          <w:bCs/>
          <w:sz w:val="24"/>
        </w:rPr>
        <w:t>8月基差</w:t>
      </w:r>
      <w:proofErr w:type="gramEnd"/>
      <w:r w:rsidRPr="00EC53AB">
        <w:rPr>
          <w:rFonts w:asciiTheme="minorEastAsia" w:hAnsiTheme="minorEastAsia" w:hint="eastAsia"/>
          <w:bCs/>
          <w:sz w:val="24"/>
        </w:rPr>
        <w:t>1909+140。天津地区行情油厂豆</w:t>
      </w:r>
      <w:proofErr w:type="gramStart"/>
      <w:r w:rsidRPr="00EC53AB">
        <w:rPr>
          <w:rFonts w:asciiTheme="minorEastAsia" w:hAnsiTheme="minorEastAsia" w:hint="eastAsia"/>
          <w:bCs/>
          <w:sz w:val="24"/>
        </w:rPr>
        <w:t>粕</w:t>
      </w:r>
      <w:proofErr w:type="gramEnd"/>
      <w:r w:rsidRPr="00EC53AB">
        <w:rPr>
          <w:rFonts w:asciiTheme="minorEastAsia" w:hAnsiTheme="minorEastAsia" w:hint="eastAsia"/>
          <w:bCs/>
          <w:sz w:val="24"/>
        </w:rPr>
        <w:t>价格：43%蛋白：6-</w:t>
      </w:r>
      <w:proofErr w:type="gramStart"/>
      <w:r w:rsidRPr="00EC53AB">
        <w:rPr>
          <w:rFonts w:asciiTheme="minorEastAsia" w:hAnsiTheme="minorEastAsia" w:hint="eastAsia"/>
          <w:bCs/>
          <w:sz w:val="24"/>
        </w:rPr>
        <w:t>8月基差</w:t>
      </w:r>
      <w:proofErr w:type="gramEnd"/>
      <w:r w:rsidRPr="00EC53AB">
        <w:rPr>
          <w:rFonts w:asciiTheme="minorEastAsia" w:hAnsiTheme="minorEastAsia" w:hint="eastAsia"/>
          <w:bCs/>
          <w:sz w:val="24"/>
        </w:rPr>
        <w:t>1909+120。广东东莞地区油厂豆</w:t>
      </w:r>
      <w:proofErr w:type="gramStart"/>
      <w:r w:rsidRPr="00EC53AB">
        <w:rPr>
          <w:rFonts w:asciiTheme="minorEastAsia" w:hAnsiTheme="minorEastAsia" w:hint="eastAsia"/>
          <w:bCs/>
          <w:sz w:val="24"/>
        </w:rPr>
        <w:t>粕</w:t>
      </w:r>
      <w:proofErr w:type="gramEnd"/>
      <w:r w:rsidRPr="00EC53AB">
        <w:rPr>
          <w:rFonts w:asciiTheme="minorEastAsia" w:hAnsiTheme="minorEastAsia" w:hint="eastAsia"/>
          <w:bCs/>
          <w:sz w:val="24"/>
        </w:rPr>
        <w:t>价格：43%蛋白：2910元。广西防城港外资地区油厂豆</w:t>
      </w:r>
      <w:proofErr w:type="gramStart"/>
      <w:r w:rsidRPr="00EC53AB">
        <w:rPr>
          <w:rFonts w:asciiTheme="minorEastAsia" w:hAnsiTheme="minorEastAsia" w:hint="eastAsia"/>
          <w:bCs/>
          <w:sz w:val="24"/>
        </w:rPr>
        <w:t>粕</w:t>
      </w:r>
      <w:proofErr w:type="gramEnd"/>
      <w:r w:rsidRPr="00EC53AB">
        <w:rPr>
          <w:rFonts w:asciiTheme="minorEastAsia" w:hAnsiTheme="minorEastAsia" w:hint="eastAsia"/>
          <w:bCs/>
          <w:sz w:val="24"/>
        </w:rPr>
        <w:t>价格：43%蛋白：2900元/吨。连云港地区油厂豆</w:t>
      </w:r>
      <w:proofErr w:type="gramStart"/>
      <w:r w:rsidRPr="00EC53AB">
        <w:rPr>
          <w:rFonts w:asciiTheme="minorEastAsia" w:hAnsiTheme="minorEastAsia" w:hint="eastAsia"/>
          <w:bCs/>
          <w:sz w:val="24"/>
        </w:rPr>
        <w:t>粕</w:t>
      </w:r>
      <w:proofErr w:type="gramEnd"/>
      <w:r w:rsidRPr="00EC53AB">
        <w:rPr>
          <w:rFonts w:asciiTheme="minorEastAsia" w:hAnsiTheme="minorEastAsia" w:hint="eastAsia"/>
          <w:bCs/>
          <w:sz w:val="24"/>
        </w:rPr>
        <w:t>价格：43%蛋白：2930元/吨。</w:t>
      </w: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4D3A15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lastRenderedPageBreak/>
        <w:t>本周中中美领导人通话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中美贸易关系有所缓和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国内豆</w:t>
      </w:r>
      <w:proofErr w:type="gramStart"/>
      <w:r>
        <w:rPr>
          <w:rFonts w:asciiTheme="majorEastAsia" w:eastAsiaTheme="majorEastAsia" w:hAnsiTheme="major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/>
          <w:color w:val="000000"/>
          <w:sz w:val="24"/>
        </w:rPr>
        <w:t>因此大幅下跌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随后两天杀跌势头有所缓和</w:t>
      </w:r>
      <w:r>
        <w:rPr>
          <w:rFonts w:asciiTheme="majorEastAsia" w:eastAsiaTheme="majorEastAsia" w:hAnsiTheme="majorEastAsia" w:hint="eastAsia"/>
          <w:color w:val="000000"/>
          <w:sz w:val="24"/>
        </w:rPr>
        <w:t>。</w:t>
      </w:r>
      <w:r>
        <w:rPr>
          <w:rFonts w:asciiTheme="majorEastAsia" w:eastAsiaTheme="majorEastAsia" w:hAnsiTheme="majorEastAsia"/>
          <w:color w:val="000000"/>
          <w:sz w:val="24"/>
        </w:rPr>
        <w:t>过去一年多时间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中美贸易战一直影响豆类市场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但豆</w:t>
      </w:r>
      <w:proofErr w:type="gramStart"/>
      <w:r>
        <w:rPr>
          <w:rFonts w:asciiTheme="majorEastAsia" w:eastAsiaTheme="majorEastAsia" w:hAnsiTheme="major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/>
          <w:color w:val="000000"/>
          <w:sz w:val="24"/>
        </w:rPr>
        <w:t>本轮涨势的动力来自于美国降雨</w:t>
      </w:r>
      <w:proofErr w:type="gramStart"/>
      <w:r>
        <w:rPr>
          <w:rFonts w:asciiTheme="majorEastAsia" w:eastAsiaTheme="majorEastAsia" w:hAnsiTheme="majorEastAsia"/>
          <w:color w:val="000000"/>
          <w:sz w:val="24"/>
        </w:rPr>
        <w:t>使得美豆种植</w:t>
      </w:r>
      <w:proofErr w:type="gramEnd"/>
      <w:r>
        <w:rPr>
          <w:rFonts w:asciiTheme="majorEastAsia" w:eastAsiaTheme="majorEastAsia" w:hAnsiTheme="majorEastAsia"/>
          <w:color w:val="000000"/>
          <w:sz w:val="24"/>
        </w:rPr>
        <w:t>进度远低于预期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目前看美国天气仍未见好转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天气炒作仍可能延续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而中美贸易关系虽有缓和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但之前的多次反复已经说明中美距离达成实质性协议仍很遥远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在这种背景下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预计国内豆</w:t>
      </w:r>
      <w:proofErr w:type="gramStart"/>
      <w:r>
        <w:rPr>
          <w:rFonts w:asciiTheme="majorEastAsia" w:eastAsiaTheme="majorEastAsia" w:hAnsiTheme="major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/>
          <w:color w:val="000000"/>
          <w:sz w:val="24"/>
        </w:rPr>
        <w:t>向下空间有限</w:t>
      </w:r>
      <w:r w:rsidR="00D67C27">
        <w:rPr>
          <w:rFonts w:asciiTheme="majorEastAsia" w:eastAsiaTheme="majorEastAsia" w:hAnsiTheme="majorEastAsia" w:hint="eastAsia"/>
          <w:color w:val="000000"/>
          <w:sz w:val="24"/>
        </w:rPr>
        <w:t>，</w:t>
      </w:r>
      <w:r w:rsidR="00D67C27">
        <w:rPr>
          <w:rFonts w:asciiTheme="majorEastAsia" w:eastAsiaTheme="majorEastAsia" w:hAnsiTheme="majorEastAsia"/>
          <w:color w:val="000000"/>
          <w:sz w:val="24"/>
        </w:rPr>
        <w:t>不宜过分看空</w:t>
      </w:r>
      <w:r w:rsidR="00D67C27">
        <w:rPr>
          <w:rFonts w:asciiTheme="majorEastAsia" w:eastAsiaTheme="majorEastAsia" w:hAnsiTheme="majorEastAsia" w:hint="eastAsia"/>
          <w:color w:val="000000"/>
          <w:sz w:val="24"/>
        </w:rPr>
        <w:t>。</w:t>
      </w:r>
    </w:p>
    <w:p w:rsidR="008521E4" w:rsidRPr="00CF1EF9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EC53AB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2082526"/>
            <wp:effectExtent l="19050" t="0" r="2540" b="0"/>
            <wp:docPr id="1" name="图片 1" descr="C:\Users\PIAOBA~1\AppData\Local\Temp\WeChat Files\a7c6cf6ad1f50d83667858e0e010b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a7c6cf6ad1f50d83667858e0e010b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5A1B85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标的本周中出现较大波动的下跌，随后走势有所缓和，波动整体仍然不小。期权方面豆</w:t>
      </w:r>
      <w:proofErr w:type="gramStart"/>
      <w:r>
        <w:rPr>
          <w:rFonts w:asciiTheme="majorEastAsia" w:eastAsiaTheme="majorEastAsia" w:hAnsiTheme="majorEastAsia" w:hint="eastAsia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sz w:val="24"/>
        </w:rPr>
        <w:t>1909看涨端合约价格本周稍有下跌，看跌端合约价格则变化不大，机会上仍然推荐看跌端2400及以下合约，3块以上的价格可以建仓。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B7" w:rsidRDefault="007C2AB7" w:rsidP="00F44943">
      <w:r>
        <w:separator/>
      </w:r>
    </w:p>
  </w:endnote>
  <w:endnote w:type="continuationSeparator" w:id="0">
    <w:p w:rsidR="007C2AB7" w:rsidRDefault="007C2AB7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F231E4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000C1" w:rsidRPr="00A000C1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B7" w:rsidRDefault="007C2AB7" w:rsidP="00F44943">
      <w:r>
        <w:separator/>
      </w:r>
    </w:p>
  </w:footnote>
  <w:footnote w:type="continuationSeparator" w:id="0">
    <w:p w:rsidR="007C2AB7" w:rsidRDefault="007C2AB7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735E4F46"/>
    <w:lvl w:ilvl="0" w:tplc="A4386A22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113858"/>
    <w:rsid w:val="00116F1B"/>
    <w:rsid w:val="0011762D"/>
    <w:rsid w:val="00120196"/>
    <w:rsid w:val="00120291"/>
    <w:rsid w:val="00121E29"/>
    <w:rsid w:val="00123FCB"/>
    <w:rsid w:val="00125D1F"/>
    <w:rsid w:val="001307A5"/>
    <w:rsid w:val="00133ABC"/>
    <w:rsid w:val="00146848"/>
    <w:rsid w:val="00154C6A"/>
    <w:rsid w:val="00155380"/>
    <w:rsid w:val="001628FB"/>
    <w:rsid w:val="0016640B"/>
    <w:rsid w:val="0016671E"/>
    <w:rsid w:val="0017025C"/>
    <w:rsid w:val="00171BD8"/>
    <w:rsid w:val="001724C0"/>
    <w:rsid w:val="0017411A"/>
    <w:rsid w:val="00180F39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63F8"/>
    <w:rsid w:val="001F3AEC"/>
    <w:rsid w:val="002001CA"/>
    <w:rsid w:val="00210252"/>
    <w:rsid w:val="00210623"/>
    <w:rsid w:val="00210B67"/>
    <w:rsid w:val="0021159D"/>
    <w:rsid w:val="002120F1"/>
    <w:rsid w:val="0021718A"/>
    <w:rsid w:val="00224F69"/>
    <w:rsid w:val="00234B7F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535A"/>
    <w:rsid w:val="00390B43"/>
    <w:rsid w:val="0039445B"/>
    <w:rsid w:val="003952CE"/>
    <w:rsid w:val="003A3009"/>
    <w:rsid w:val="003A38A1"/>
    <w:rsid w:val="003A4957"/>
    <w:rsid w:val="003A5A9D"/>
    <w:rsid w:val="003A66F0"/>
    <w:rsid w:val="003B38CE"/>
    <w:rsid w:val="003C2EC3"/>
    <w:rsid w:val="003C62D4"/>
    <w:rsid w:val="003C6691"/>
    <w:rsid w:val="003C66F0"/>
    <w:rsid w:val="003D235D"/>
    <w:rsid w:val="003D4A09"/>
    <w:rsid w:val="003E0C66"/>
    <w:rsid w:val="003E263A"/>
    <w:rsid w:val="003E3A17"/>
    <w:rsid w:val="003E3ADF"/>
    <w:rsid w:val="003F1121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746D"/>
    <w:rsid w:val="004E7D02"/>
    <w:rsid w:val="004F04CF"/>
    <w:rsid w:val="004F39DC"/>
    <w:rsid w:val="00501C4F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7B14"/>
    <w:rsid w:val="00561F68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B6C2B"/>
    <w:rsid w:val="005C7D9F"/>
    <w:rsid w:val="005D0924"/>
    <w:rsid w:val="005D15C1"/>
    <w:rsid w:val="005D19F9"/>
    <w:rsid w:val="005D4B37"/>
    <w:rsid w:val="005E01C2"/>
    <w:rsid w:val="005E768D"/>
    <w:rsid w:val="005F2E25"/>
    <w:rsid w:val="00605F43"/>
    <w:rsid w:val="00611D7F"/>
    <w:rsid w:val="00616982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0334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5896"/>
    <w:rsid w:val="006E673A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7F56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A0504"/>
    <w:rsid w:val="009A0EE7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2114"/>
    <w:rsid w:val="00C86F7F"/>
    <w:rsid w:val="00C9346E"/>
    <w:rsid w:val="00C95AB6"/>
    <w:rsid w:val="00CA4D50"/>
    <w:rsid w:val="00CA789B"/>
    <w:rsid w:val="00CB118E"/>
    <w:rsid w:val="00CB30B1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A0475"/>
    <w:rsid w:val="00DA53C2"/>
    <w:rsid w:val="00DA658E"/>
    <w:rsid w:val="00DB1E4E"/>
    <w:rsid w:val="00DC7F60"/>
    <w:rsid w:val="00DD1D21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57AD"/>
    <w:rsid w:val="00FE20DC"/>
    <w:rsid w:val="00FE4B2A"/>
    <w:rsid w:val="00FE5A11"/>
    <w:rsid w:val="00FE5DAB"/>
    <w:rsid w:val="00FE6DDE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E9614-3188-4875-9565-1396C459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4</cp:revision>
  <cp:lastPrinted>2018-03-09T02:16:00Z</cp:lastPrinted>
  <dcterms:created xsi:type="dcterms:W3CDTF">2019-06-21T06:03:00Z</dcterms:created>
  <dcterms:modified xsi:type="dcterms:W3CDTF">2019-06-24T01:56:00Z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