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FB0A92">
        <w:rPr>
          <w:rFonts w:asciiTheme="minorEastAsia" w:hAnsiTheme="minorEastAsia" w:hint="eastAsia"/>
          <w:sz w:val="24"/>
        </w:rPr>
        <w:t>067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E25C8E">
        <w:rPr>
          <w:rFonts w:asciiTheme="minorEastAsia" w:hAnsiTheme="minorEastAsia" w:hint="eastAsia"/>
          <w:sz w:val="24"/>
        </w:rPr>
        <w:t>5</w:t>
      </w:r>
      <w:r w:rsidR="00EF3C66">
        <w:rPr>
          <w:rFonts w:asciiTheme="minorEastAsia" w:hAnsiTheme="minorEastAsia" w:hint="eastAsia"/>
          <w:sz w:val="24"/>
        </w:rPr>
        <w:t>0</w:t>
      </w:r>
      <w:r w:rsidR="00FB0A92">
        <w:rPr>
          <w:rFonts w:asciiTheme="minorEastAsia" w:hAnsiTheme="minorEastAsia" w:hint="eastAsia"/>
          <w:sz w:val="24"/>
        </w:rPr>
        <w:t>10</w:t>
      </w:r>
      <w:r w:rsidRPr="00DB29D8">
        <w:rPr>
          <w:rFonts w:asciiTheme="minorEastAsia" w:hAnsiTheme="minorEastAsia" w:hint="eastAsia"/>
          <w:sz w:val="24"/>
        </w:rPr>
        <w:t>，单周</w:t>
      </w:r>
      <w:r w:rsidR="00EF3C66">
        <w:rPr>
          <w:rFonts w:asciiTheme="minorEastAsia" w:hAnsiTheme="minorEastAsia" w:hint="eastAsia"/>
          <w:sz w:val="24"/>
        </w:rPr>
        <w:t>下跌</w:t>
      </w:r>
      <w:r w:rsidR="00FB0A92">
        <w:rPr>
          <w:rFonts w:asciiTheme="minorEastAsia" w:hAnsiTheme="minorEastAsia" w:hint="eastAsia"/>
          <w:sz w:val="24"/>
        </w:rPr>
        <w:t>0.93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proofErr w:type="gramStart"/>
      <w:r w:rsidR="00FB0A92">
        <w:rPr>
          <w:rFonts w:asciiTheme="minorEastAsia" w:hAnsiTheme="minorEastAsia" w:hint="eastAsia"/>
          <w:sz w:val="24"/>
        </w:rPr>
        <w:t>上周郑糖延续</w:t>
      </w:r>
      <w:proofErr w:type="gramEnd"/>
      <w:r w:rsidR="00FB0A92">
        <w:rPr>
          <w:rFonts w:asciiTheme="minorEastAsia" w:hAnsiTheme="minorEastAsia" w:hint="eastAsia"/>
          <w:sz w:val="24"/>
        </w:rPr>
        <w:t>弱势，一路振荡下跌，到周五才稍有企稳，整体波动也不大。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F60983" w:rsidRDefault="00F60983" w:rsidP="00F60983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F60983">
        <w:rPr>
          <w:rFonts w:asciiTheme="minorEastAsia" w:hAnsiTheme="minorEastAsia" w:hint="eastAsia"/>
          <w:color w:val="000000"/>
          <w:sz w:val="24"/>
        </w:rPr>
        <w:t>6月上半月巴西中南部地区糖厂甘蔗压榨量达到4237万吨，与上年同期基本持平，但较2019年5月下半月减少3.92％；19/20榨季截至6月16日累计压榨甘蔗1.708亿吨，同比减少4.1%。UNICA总监</w:t>
      </w:r>
      <w:proofErr w:type="spellStart"/>
      <w:r w:rsidRPr="00F60983">
        <w:rPr>
          <w:rFonts w:asciiTheme="minorEastAsia" w:hAnsiTheme="minorEastAsia" w:hint="eastAsia"/>
          <w:color w:val="000000"/>
          <w:sz w:val="24"/>
        </w:rPr>
        <w:t>Rodrigues</w:t>
      </w:r>
      <w:proofErr w:type="spellEnd"/>
      <w:r w:rsidRPr="00F60983">
        <w:rPr>
          <w:rFonts w:asciiTheme="minorEastAsia" w:hAnsiTheme="minorEastAsia" w:hint="eastAsia"/>
          <w:color w:val="000000"/>
          <w:sz w:val="24"/>
        </w:rPr>
        <w:t>表示，尽管最近几周气候干燥，但甘蔗压榨量仍然延迟了700多万吨。</w:t>
      </w:r>
    </w:p>
    <w:p w:rsidR="00D913E5" w:rsidRDefault="00FB0A92" w:rsidP="00FB0A9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FB0A92">
        <w:rPr>
          <w:rFonts w:asciiTheme="minorEastAsia" w:hAnsiTheme="minorEastAsia" w:hint="eastAsia"/>
          <w:color w:val="000000"/>
          <w:sz w:val="24"/>
        </w:rPr>
        <w:t>官方数据显示，4月份巴基斯坦糖产量为37.69万吨，较去年同期的81.08万吨下降54%。18/19榨季截至4月底，累计糖产量达527.6万吨，较上年同期的646.4万吨下降18%。</w:t>
      </w:r>
    </w:p>
    <w:p w:rsidR="00D913E5" w:rsidRDefault="00BE44E2" w:rsidP="00BE44E2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BE44E2">
        <w:rPr>
          <w:rFonts w:asciiTheme="minorEastAsia" w:hAnsiTheme="minorEastAsia" w:hint="eastAsia"/>
          <w:color w:val="000000"/>
          <w:sz w:val="24"/>
        </w:rPr>
        <w:t>印度季风推迟及降雨</w:t>
      </w:r>
      <w:proofErr w:type="gramStart"/>
      <w:r w:rsidRPr="00BE44E2">
        <w:rPr>
          <w:rFonts w:asciiTheme="minorEastAsia" w:hAnsiTheme="minorEastAsia" w:hint="eastAsia"/>
          <w:color w:val="000000"/>
          <w:sz w:val="24"/>
        </w:rPr>
        <w:t>不佳令</w:t>
      </w:r>
      <w:proofErr w:type="gramEnd"/>
      <w:r w:rsidRPr="00BE44E2">
        <w:rPr>
          <w:rFonts w:asciiTheme="minorEastAsia" w:hAnsiTheme="minorEastAsia" w:hint="eastAsia"/>
          <w:color w:val="000000"/>
          <w:sz w:val="24"/>
        </w:rPr>
        <w:t>市场担忧其产量下滑，之前两个榨季印度产量超过巴西成为全球最大的食糖生产国，但是2019/20榨季截止目前受到天气因素的困扰甘蔗生长受到了影响。</w:t>
      </w:r>
    </w:p>
    <w:p w:rsidR="00BE44E2" w:rsidRPr="005834ED" w:rsidRDefault="00BE44E2" w:rsidP="00BE44E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5834ED" w:rsidRDefault="008764AA" w:rsidP="008764A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周五</w:t>
      </w:r>
      <w:r w:rsidR="00D53C2F">
        <w:rPr>
          <w:rFonts w:asciiTheme="minorEastAsia" w:hAnsiTheme="minorEastAsia" w:hint="eastAsia"/>
          <w:color w:val="000000"/>
          <w:sz w:val="24"/>
        </w:rPr>
        <w:t>现货报价：</w:t>
      </w:r>
      <w:r w:rsidRPr="008764AA">
        <w:rPr>
          <w:rFonts w:asciiTheme="minorEastAsia" w:hAnsiTheme="minorEastAsia" w:hint="eastAsia"/>
          <w:color w:val="000000"/>
          <w:sz w:val="24"/>
        </w:rPr>
        <w:t>广西：南宁中间商站台暂无报价，仓库报价5210-5320元/吨。南宁集团厂仓报价5150-5230元/吨，南宁仓自提5260元/吨，报价不变，取消批量优惠。柳州中间商站台报价5250-5270元/吨，仓库报价5250-5270元/吨，报价不变。柳州集团站台报价5230-5270元/吨，报价不变。贵港中间商仓库报价5270-5330元/吨，报价不变。云南：昆明中间商报价5030-5140元/吨；大理4980-5000元/吨，报价不变；祥云4980-5100元/吨。云南集团昆明报价5040元/吨，大理报价5000元/吨，报价不变。广东：湛江中间商报价5210元/吨，报价不变，销量偏淡。新疆：中粮乌鲁木齐暂报价5150-5200元/吨，报价不变，成交一般。</w:t>
      </w:r>
    </w:p>
    <w:p w:rsidR="00D53C2F" w:rsidRPr="0048054C" w:rsidRDefault="00D53C2F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B10FA7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国际糖市</w:t>
      </w:r>
      <w:r w:rsidR="00C83684">
        <w:rPr>
          <w:rFonts w:asciiTheme="minorEastAsia" w:hAnsiTheme="minorEastAsia" w:hint="eastAsia"/>
          <w:color w:val="000000"/>
          <w:sz w:val="24"/>
        </w:rPr>
        <w:t>整体格局偏好，但短期受到高库存和印度出口问题压制，国内则仍处于弱势格局，供应仍然偏宽松，走势上也弱于原糖，预计下周</w:t>
      </w:r>
      <w:proofErr w:type="gramStart"/>
      <w:r w:rsidR="00C83684">
        <w:rPr>
          <w:rFonts w:asciiTheme="minorEastAsia" w:hAnsiTheme="minorEastAsia" w:hint="eastAsia"/>
          <w:color w:val="000000"/>
          <w:sz w:val="24"/>
        </w:rPr>
        <w:t>郑糖仍</w:t>
      </w:r>
      <w:proofErr w:type="gramEnd"/>
      <w:r w:rsidR="00C83684">
        <w:rPr>
          <w:rFonts w:asciiTheme="minorEastAsia" w:hAnsiTheme="minorEastAsia" w:hint="eastAsia"/>
          <w:color w:val="000000"/>
          <w:sz w:val="24"/>
        </w:rPr>
        <w:t>将持续区间振荡，难有大的突破。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C83684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1" name="图片 1" descr="C:\Users\PIAOBA~1\AppData\Local\Temp\WeChat Files\cf9bd21368dfb2149e390b730ddbd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cf9bd21368dfb2149e390b730ddbd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2C777C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</w:t>
      </w:r>
      <w:r>
        <w:rPr>
          <w:rFonts w:asciiTheme="minorEastAsia" w:hAnsiTheme="minorEastAsia"/>
          <w:color w:val="000000"/>
          <w:sz w:val="24"/>
        </w:rPr>
        <w:t>标的</w:t>
      </w:r>
      <w:r w:rsidR="00C83684">
        <w:rPr>
          <w:rFonts w:asciiTheme="minorEastAsia" w:hAnsiTheme="minorEastAsia" w:hint="eastAsia"/>
          <w:color w:val="000000"/>
          <w:sz w:val="24"/>
        </w:rPr>
        <w:t>弱势</w:t>
      </w:r>
      <w:r w:rsidR="00C83684">
        <w:rPr>
          <w:rFonts w:asciiTheme="minorEastAsia" w:hAnsiTheme="minorEastAsia"/>
          <w:color w:val="000000"/>
          <w:sz w:val="24"/>
        </w:rPr>
        <w:t>振荡</w:t>
      </w:r>
      <w:r w:rsidR="00AA5F06">
        <w:rPr>
          <w:rFonts w:asciiTheme="minorEastAsia" w:hAnsiTheme="minorEastAsia" w:hint="eastAsia"/>
          <w:color w:val="000000"/>
          <w:sz w:val="24"/>
        </w:rPr>
        <w:t>，</w:t>
      </w:r>
      <w:r w:rsidR="00C83684">
        <w:rPr>
          <w:rFonts w:asciiTheme="minorEastAsia" w:hAnsiTheme="minorEastAsia" w:hint="eastAsia"/>
          <w:color w:val="000000"/>
          <w:sz w:val="24"/>
        </w:rPr>
        <w:t>整体</w:t>
      </w:r>
      <w:r w:rsidR="00C83684">
        <w:rPr>
          <w:rFonts w:asciiTheme="minorEastAsia" w:hAnsiTheme="minorEastAsia"/>
          <w:color w:val="000000"/>
          <w:sz w:val="24"/>
        </w:rPr>
        <w:t>波动比较小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</w:t>
      </w:r>
      <w:r w:rsidR="00C83684">
        <w:rPr>
          <w:rFonts w:asciiTheme="minorEastAsia" w:hAnsiTheme="minorEastAsia" w:hint="eastAsia"/>
          <w:color w:val="000000"/>
          <w:sz w:val="24"/>
        </w:rPr>
        <w:t>两端</w:t>
      </w:r>
      <w:r w:rsidR="00C83684">
        <w:rPr>
          <w:rFonts w:asciiTheme="minorEastAsia" w:hAnsiTheme="minorEastAsia"/>
          <w:color w:val="000000"/>
          <w:sz w:val="24"/>
        </w:rPr>
        <w:t>权利金价格变化不大</w:t>
      </w:r>
      <w:r w:rsidR="00C83684">
        <w:rPr>
          <w:rFonts w:asciiTheme="minorEastAsia" w:hAnsiTheme="minorEastAsia" w:hint="eastAsia"/>
          <w:color w:val="000000"/>
          <w:sz w:val="24"/>
        </w:rPr>
        <w:t>，</w:t>
      </w:r>
      <w:r w:rsidR="00C83684">
        <w:rPr>
          <w:rFonts w:asciiTheme="minorEastAsia" w:hAnsiTheme="minorEastAsia"/>
          <w:color w:val="000000"/>
          <w:sz w:val="24"/>
        </w:rPr>
        <w:t>看涨端</w:t>
      </w:r>
      <w:r w:rsidR="00C83684">
        <w:rPr>
          <w:rFonts w:asciiTheme="minorEastAsia" w:hAnsiTheme="minorEastAsia" w:hint="eastAsia"/>
          <w:color w:val="000000"/>
          <w:sz w:val="24"/>
        </w:rPr>
        <w:t>5800C，5900C价格仍然比较坚挺，可以继续持有。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78" w:rsidRDefault="00080B78" w:rsidP="00F44943">
      <w:r>
        <w:separator/>
      </w:r>
    </w:p>
  </w:endnote>
  <w:endnote w:type="continuationSeparator" w:id="0">
    <w:p w:rsidR="00080B78" w:rsidRDefault="00080B78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763000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83684" w:rsidRPr="00C83684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78" w:rsidRDefault="00080B78" w:rsidP="00F44943">
      <w:r>
        <w:separator/>
      </w:r>
    </w:p>
  </w:footnote>
  <w:footnote w:type="continuationSeparator" w:id="0">
    <w:p w:rsidR="00080B78" w:rsidRDefault="00080B78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EE4"/>
    <w:rsid w:val="007C091E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7484"/>
    <w:rsid w:val="00937C77"/>
    <w:rsid w:val="00941277"/>
    <w:rsid w:val="00942DD9"/>
    <w:rsid w:val="0094575F"/>
    <w:rsid w:val="0095594C"/>
    <w:rsid w:val="00963A18"/>
    <w:rsid w:val="00964200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25C8E"/>
    <w:rsid w:val="00E27192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8197C-A781-48A5-A318-25A63313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2019-07-01T03:11:00Z</dcterms:created>
  <dcterms:modified xsi:type="dcterms:W3CDTF">2019-07-01T05:51:00Z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