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FA" w:rsidRDefault="008206FA" w:rsidP="008206FA">
      <w:pPr>
        <w:pStyle w:val="a5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7"/>
          <w:szCs w:val="27"/>
          <w:shd w:val="clear" w:color="auto" w:fill="D4FA00"/>
        </w:rPr>
        <w:t>铜</w:t>
      </w:r>
    </w:p>
    <w:p w:rsidR="008206FA" w:rsidRDefault="008206FA" w:rsidP="008206FA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全球宏观经济数据不佳铜价承压</w:t>
      </w:r>
    </w:p>
    <w:p w:rsidR="008206FA" w:rsidRDefault="008206FA" w:rsidP="008206FA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1、决定铜价走势的主要是宏观经济预期和微观供需基本面，去年来宏观影响更为明显。近段中美贸易摩擦等宏观因素基本主导铜价的涨跌。中期看，宏观上世界经济走缓预期非常明显，特别是欧美发达经济体，近期新兴国家有走稳迹象，另一方面铜供应紧张也成为常态，铜矿罢工也时有发生，铜加工费明显下降，库存明显低于去年同期。总体而言，宏观上中长期走弱，贸易摩擦也不可能短期得以解决，基本面上供应紧张形成多空交织态势，铜价陷入宽幅震荡。</w:t>
      </w:r>
    </w:p>
    <w:p w:rsidR="008206FA" w:rsidRDefault="008206FA" w:rsidP="008206FA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2、中美两国领导人在G20会议期间会晤，同意重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启经贸磋商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，贸易摩擦忧虑短期减缓。但此后全球宏观经济数据不佳使得铜价大幅回调。</w:t>
      </w:r>
    </w:p>
    <w:p w:rsidR="008206FA" w:rsidRDefault="008206FA" w:rsidP="008206FA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3、微观上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铜本身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市场结构方面，交易所显性库存最近有所增加，特别是LME经常出现大幅度的交货行为， COMEX库存持续下降周期也基本结束，虽然三大交易所总库存仍低于去年同期，但对铜价的支撑显著下降；另外铜加工费持续下降都给铜市一定的支撑，CFTC显示前一周商业与基金都大幅度减仓，上周由于美国联邦假期没有公布持仓报告。</w:t>
      </w:r>
    </w:p>
    <w:p w:rsidR="008206FA" w:rsidRDefault="008206FA" w:rsidP="008206FA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4、本周预期铜价震荡，策略上仍维持投资者可以逢急跌大跌买入，中期持有，急冲高后一定需部分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减仓待回落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后再重建多头。</w:t>
      </w:r>
    </w:p>
    <w:p w:rsidR="008206FA" w:rsidRDefault="008206FA" w:rsidP="008206FA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b/>
          <w:bCs/>
          <w:color w:val="333333"/>
          <w:sz w:val="27"/>
          <w:szCs w:val="27"/>
          <w:shd w:val="clear" w:color="auto" w:fill="D4FA00"/>
        </w:rPr>
        <w:br/>
      </w:r>
      <w:r>
        <w:rPr>
          <w:rStyle w:val="a6"/>
          <w:rFonts w:ascii="微软雅黑" w:eastAsia="微软雅黑" w:hAnsi="微软雅黑" w:hint="eastAsia"/>
          <w:color w:val="333333"/>
          <w:sz w:val="27"/>
          <w:szCs w:val="27"/>
          <w:shd w:val="clear" w:color="auto" w:fill="A5C8FF"/>
        </w:rPr>
        <w:t>橡胶</w:t>
      </w:r>
    </w:p>
    <w:p w:rsidR="008206FA" w:rsidRDefault="008206FA" w:rsidP="008206FA">
      <w:pPr>
        <w:pStyle w:val="a5"/>
        <w:spacing w:before="150" w:beforeAutospacing="0" w:after="225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lastRenderedPageBreak/>
        <w:t>上周橡胶继续下探，且创年内新低，基本面看，国内外产区产量陆续释放，供应较为充足，原材料价格出现松动，成本支撑减弱，需求方面仍表现低迷，仍是制约行情发展的关键，下游整体按需采购。1909合约在震荡底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沿附近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值得尝试做多，但目前趋势性行情不具备，操作策略以震荡行情对待。</w:t>
      </w:r>
    </w:p>
    <w:p w:rsidR="008206FA" w:rsidRDefault="008206FA" w:rsidP="008206FA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8206FA" w:rsidRDefault="008206FA" w:rsidP="008206FA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7"/>
          <w:szCs w:val="27"/>
          <w:shd w:val="clear" w:color="auto" w:fill="FFFB00"/>
        </w:rPr>
        <w:t>甲醇</w:t>
      </w:r>
    </w:p>
    <w:p w:rsidR="008206FA" w:rsidRDefault="008206FA" w:rsidP="008206FA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短线观望，长线抄底</w:t>
      </w:r>
    </w:p>
    <w:p w:rsidR="008206FA" w:rsidRDefault="008206FA" w:rsidP="008206FA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（震荡）</w:t>
      </w:r>
    </w:p>
    <w:p w:rsidR="008206FA" w:rsidRDefault="008206FA" w:rsidP="008206FA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1. 上周甲醇基本面羸弱局面没有改善，价格略有回调。</w:t>
      </w:r>
    </w:p>
    <w:p w:rsidR="008206FA" w:rsidRDefault="008206FA" w:rsidP="008206FA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2. 本周随着上游动力煤价格的不断下行，甲醇上游成本仍然保持微利或者盈亏平衡的紧平衡装状态，上游开工率保持稳定。</w:t>
      </w:r>
    </w:p>
    <w:p w:rsidR="008206FA" w:rsidRDefault="008206FA" w:rsidP="008206FA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3. 甲醇成本利润区间继续收窄，但MTO利润有望迎来季节性走高。</w:t>
      </w:r>
    </w:p>
    <w:p w:rsidR="008206FA" w:rsidRDefault="008206FA" w:rsidP="008206FA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4. 港口库存和内地库存再次转入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累库期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，未来大概率重回高库存。</w:t>
      </w:r>
    </w:p>
    <w:p w:rsidR="008206FA" w:rsidRDefault="008206FA" w:rsidP="008206FA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5. 在甲醇7-9月份的季节性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累库期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，甲醇09合约偏弱，2001合约偏强，短线建议不要操作，长线建议在价格在这段时间选择2001合约2300以下买入建仓。</w:t>
      </w:r>
    </w:p>
    <w:p w:rsidR="008206FA" w:rsidRDefault="008206FA" w:rsidP="008206FA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8206FA" w:rsidRDefault="008206FA" w:rsidP="008206FA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7"/>
          <w:szCs w:val="27"/>
          <w:shd w:val="clear" w:color="auto" w:fill="73FA79"/>
        </w:rPr>
        <w:t>油脂类</w:t>
      </w:r>
    </w:p>
    <w:p w:rsidR="008206FA" w:rsidRDefault="008206FA" w:rsidP="008206FA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供给利空仍在，近月风险加剧</w:t>
      </w:r>
    </w:p>
    <w:p w:rsidR="008206FA" w:rsidRDefault="008206FA" w:rsidP="008206FA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lastRenderedPageBreak/>
        <w:t>1、油脂整体基本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面改善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有限，后期逐步进入消费淡季，库存逐步走高，价格低位震荡。</w:t>
      </w:r>
    </w:p>
    <w:p w:rsidR="008206FA" w:rsidRDefault="008206FA" w:rsidP="008206FA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2、棕榈油方面，产地利空频传，6月出口不及预期，在增产期的大背景下，棕榈库存压力增加，利空价格。棕榈油当前处于相对低位，虽然向下跌幅有限，但当前已经逐步临近交割月，受到现货高库存的影响，近月合约整体风险加剧，暂不抄底，谨慎观望。</w:t>
      </w:r>
    </w:p>
    <w:p w:rsidR="008206FA" w:rsidRDefault="008206FA" w:rsidP="008206FA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3、豆油方面，天气与贸易摩擦方面的支撑逐步透支，未来高供给低消费的大背景下，豆油价格单边趋势相对偏弱，反弹高度有限，短期观望为主。</w:t>
      </w:r>
    </w:p>
    <w:p w:rsidR="008206FA" w:rsidRDefault="008206FA" w:rsidP="008206FA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4、豆棕价差方面，后期大方向考虑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多豆空棕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，短线高抛低吸为主。</w:t>
      </w:r>
    </w:p>
    <w:p w:rsidR="008206FA" w:rsidRDefault="008206FA" w:rsidP="008206FA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8206FA" w:rsidRDefault="008206FA" w:rsidP="008206FA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7"/>
          <w:szCs w:val="27"/>
          <w:shd w:val="clear" w:color="auto" w:fill="FFFB00"/>
        </w:rPr>
        <w:t>玉米&amp;淀粉</w:t>
      </w:r>
    </w:p>
    <w:p w:rsidR="008206FA" w:rsidRDefault="008206FA" w:rsidP="008206FA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抛储价小幅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提升，关注短期做多机会</w:t>
      </w:r>
    </w:p>
    <w:p w:rsidR="008206FA" w:rsidRDefault="008206FA" w:rsidP="008206FA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1．G20峰会领导人见面，贸易战缓解，玉米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进口重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回风口，但短期大幅进口的可能性不存在。</w:t>
      </w:r>
    </w:p>
    <w:p w:rsidR="008206FA" w:rsidRDefault="008206FA" w:rsidP="008206FA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2.  新季种植面积小幅减少，主产区逐步进入天气炒作时间点，草地贪夜蛾进入黄淮海地区，短期炒作降温，关注后期虫害进展情况。400万吨抛储继续，本周成交继续下降，价格小幅上涨。</w:t>
      </w:r>
    </w:p>
    <w:p w:rsidR="008206FA" w:rsidRDefault="008206FA" w:rsidP="008206FA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3. 生猪存栏环比下降，猪肉价格小幅回升养殖利润好转，南方猪瘟疫情加重，饲料需求仍没有明显好转。</w:t>
      </w:r>
    </w:p>
    <w:p w:rsidR="008206FA" w:rsidRDefault="008206FA" w:rsidP="008206FA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4. 玉米现货变化不大，淀粉价格持平。</w:t>
      </w:r>
    </w:p>
    <w:p w:rsidR="008206FA" w:rsidRDefault="008206FA" w:rsidP="008206FA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lastRenderedPageBreak/>
        <w:t>5. 深加工停机潮即将到来，淀粉近期有望走强。</w:t>
      </w:r>
    </w:p>
    <w:p w:rsidR="008206FA" w:rsidRDefault="008206FA" w:rsidP="008206FA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综上，贸易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战进口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政策和猪瘟疫情都是长时间的影响因素，再度大幅炒作的可能性不大，养殖行业饲料需求短时间难有大的起色，近月价格到了抛储成本价附近易涨难跌，主产区逐渐进入天气炒作时间节点，深加工逐渐进入集中停机检修，玉米近月可逐渐建立多单，价差方面逐渐向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15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月过渡。</w:t>
      </w:r>
    </w:p>
    <w:p w:rsidR="008206FA" w:rsidRDefault="008206FA" w:rsidP="008206FA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8206FA" w:rsidRDefault="008206FA" w:rsidP="008206FA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7"/>
          <w:szCs w:val="27"/>
          <w:shd w:val="clear" w:color="auto" w:fill="D4FA00"/>
        </w:rPr>
        <w:t>菜</w:t>
      </w:r>
      <w:proofErr w:type="gramStart"/>
      <w:r>
        <w:rPr>
          <w:rStyle w:val="a6"/>
          <w:rFonts w:ascii="微软雅黑" w:eastAsia="微软雅黑" w:hAnsi="微软雅黑" w:hint="eastAsia"/>
          <w:color w:val="333333"/>
          <w:sz w:val="27"/>
          <w:szCs w:val="27"/>
          <w:shd w:val="clear" w:color="auto" w:fill="D4FA00"/>
        </w:rPr>
        <w:t>粕</w:t>
      </w:r>
      <w:proofErr w:type="gramEnd"/>
    </w:p>
    <w:p w:rsidR="008206FA" w:rsidRDefault="008206FA" w:rsidP="008206FA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菜</w:t>
      </w:r>
      <w:proofErr w:type="gramStart"/>
      <w:r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粕</w:t>
      </w:r>
      <w:proofErr w:type="gramEnd"/>
      <w:r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下行空间有限</w:t>
      </w:r>
    </w:p>
    <w:p w:rsidR="008206FA" w:rsidRDefault="008206FA" w:rsidP="008206FA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本周菜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期货震荡下跌，主要是受G20峰会中美贸易态度缓和以及国内的豆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下跌所带动。受中加贸易关系紧张的影响，国内菜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的表现一直强于豆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，而G20峰会中美贸易缓和预期下增加了市场对于中加关系缓和的预期，国内菜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对此反映明显大于豆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，跌幅大于豆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。不过考虑目前豆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下行空间有限以及暂时未看到国内菜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供需格局的大幅扭转，预期菜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继续下行空间有限，短期关注2400附近的支撑。</w:t>
      </w:r>
    </w:p>
    <w:p w:rsidR="008206FA" w:rsidRDefault="008206FA" w:rsidP="008206FA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A80AF3" w:rsidRPr="008206FA" w:rsidRDefault="008206FA" w:rsidP="008206FA">
      <w:pPr>
        <w:pStyle w:val="a5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3"/>
          <w:szCs w:val="23"/>
        </w:rPr>
        <w:t>免责声明：本研究报告由金</w:t>
      </w:r>
      <w:proofErr w:type="gramStart"/>
      <w:r>
        <w:rPr>
          <w:rStyle w:val="a6"/>
          <w:rFonts w:ascii="微软雅黑" w:eastAsia="微软雅黑" w:hAnsi="微软雅黑" w:hint="eastAsia"/>
          <w:color w:val="333333"/>
          <w:sz w:val="23"/>
          <w:szCs w:val="23"/>
        </w:rPr>
        <w:t>鹏经济</w:t>
      </w:r>
      <w:proofErr w:type="gramEnd"/>
      <w:r>
        <w:rPr>
          <w:rStyle w:val="a6"/>
          <w:rFonts w:ascii="微软雅黑" w:eastAsia="微软雅黑" w:hAnsi="微软雅黑" w:hint="eastAsia"/>
          <w:color w:val="333333"/>
          <w:sz w:val="23"/>
          <w:szCs w:val="23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 </w:t>
      </w:r>
    </w:p>
    <w:sectPr w:rsidR="00A80AF3" w:rsidRPr="008206FA" w:rsidSect="00A80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A3A" w:rsidRDefault="00D94A3A" w:rsidP="008206FA">
      <w:r>
        <w:separator/>
      </w:r>
    </w:p>
  </w:endnote>
  <w:endnote w:type="continuationSeparator" w:id="0">
    <w:p w:rsidR="00D94A3A" w:rsidRDefault="00D94A3A" w:rsidP="00820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A3A" w:rsidRDefault="00D94A3A" w:rsidP="008206FA">
      <w:r>
        <w:separator/>
      </w:r>
    </w:p>
  </w:footnote>
  <w:footnote w:type="continuationSeparator" w:id="0">
    <w:p w:rsidR="00D94A3A" w:rsidRDefault="00D94A3A" w:rsidP="008206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06FA"/>
    <w:rsid w:val="008206FA"/>
    <w:rsid w:val="00A80AF3"/>
    <w:rsid w:val="00D9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0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06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0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06FA"/>
    <w:rPr>
      <w:sz w:val="18"/>
      <w:szCs w:val="18"/>
    </w:rPr>
  </w:style>
  <w:style w:type="paragraph" w:styleId="a5">
    <w:name w:val="Normal (Web)"/>
    <w:basedOn w:val="a"/>
    <w:uiPriority w:val="99"/>
    <w:unhideWhenUsed/>
    <w:rsid w:val="008206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206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284</Words>
  <Characters>1619</Characters>
  <Application>Microsoft Office Word</Application>
  <DocSecurity>0</DocSecurity>
  <Lines>13</Lines>
  <Paragraphs>3</Paragraphs>
  <ScaleCrop>false</ScaleCrop>
  <Company>IT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2019-07-11T00:17:00Z</dcterms:created>
  <dcterms:modified xsi:type="dcterms:W3CDTF">2019-07-11T00:18:00Z</dcterms:modified>
</cp:coreProperties>
</file>