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7FA" w:rsidRPr="00D317FA" w:rsidRDefault="00D317FA" w:rsidP="00D317FA">
      <w:pPr>
        <w:widowControl/>
        <w:jc w:val="center"/>
        <w:rPr>
          <w:rFonts w:ascii="微软雅黑" w:eastAsia="微软雅黑" w:hAnsi="微软雅黑" w:cs="宋体"/>
          <w:color w:val="333333"/>
          <w:kern w:val="0"/>
          <w:sz w:val="26"/>
          <w:szCs w:val="26"/>
        </w:rPr>
      </w:pPr>
      <w:r w:rsidRPr="00D317FA">
        <w:rPr>
          <w:rFonts w:ascii="MS Gothic" w:eastAsia="MS Gothic" w:hAnsi="MS Gothic" w:cs="MS Gothic" w:hint="eastAsia"/>
          <w:color w:val="333333"/>
          <w:kern w:val="0"/>
          <w:sz w:val="26"/>
          <w:szCs w:val="26"/>
        </w:rPr>
        <w:t>​</w:t>
      </w:r>
      <w:r>
        <w:rPr>
          <w:rFonts w:ascii="微软雅黑" w:eastAsia="微软雅黑" w:hAnsi="微软雅黑" w:cs="宋体"/>
          <w:noProof/>
          <w:color w:val="333333"/>
          <w:kern w:val="0"/>
          <w:sz w:val="26"/>
          <w:szCs w:val="26"/>
        </w:rPr>
        <w:drawing>
          <wp:inline distT="0" distB="0" distL="0" distR="0">
            <wp:extent cx="4752975" cy="3657600"/>
            <wp:effectExtent l="19050" t="0" r="9525" b="0"/>
            <wp:docPr id="1" name="图片 1" descr="https://mmbiz.qpic.cn/mmbiz_jpg/LBX4T1S9UVE5JRt2YVuwwCbTqqmoEtCiaiazK35DlW8IAKq1ib49tHDra5g0HNpW23aJ9JKibcorqsHEFFFJ3gFf1Q/640?wx_fm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biz.qpic.cn/mmbiz_jpg/LBX4T1S9UVE5JRt2YVuwwCbTqqmoEtCiaiazK35DlW8IAKq1ib49tHDra5g0HNpW23aJ9JKibcorqsHEFFFJ3gFf1Q/640?wx_fmt=jpeg"/>
                    <pic:cNvPicPr>
                      <a:picLocks noChangeAspect="1" noChangeArrowheads="1"/>
                    </pic:cNvPicPr>
                  </pic:nvPicPr>
                  <pic:blipFill>
                    <a:blip r:embed="rId7" cstate="print"/>
                    <a:srcRect/>
                    <a:stretch>
                      <a:fillRect/>
                    </a:stretch>
                  </pic:blipFill>
                  <pic:spPr bwMode="auto">
                    <a:xfrm>
                      <a:off x="0" y="0"/>
                      <a:ext cx="4752975" cy="3657600"/>
                    </a:xfrm>
                    <a:prstGeom prst="rect">
                      <a:avLst/>
                    </a:prstGeom>
                    <a:noFill/>
                    <a:ln w="9525">
                      <a:noFill/>
                      <a:miter lim="800000"/>
                      <a:headEnd/>
                      <a:tailEnd/>
                    </a:ln>
                  </pic:spPr>
                </pic:pic>
              </a:graphicData>
            </a:graphic>
          </wp:inline>
        </w:drawing>
      </w:r>
    </w:p>
    <w:p w:rsidR="00D317FA" w:rsidRPr="00D317FA" w:rsidRDefault="00D317FA" w:rsidP="00D317FA">
      <w:pPr>
        <w:widowControl/>
        <w:jc w:val="center"/>
        <w:rPr>
          <w:rFonts w:ascii="微软雅黑" w:eastAsia="微软雅黑" w:hAnsi="微软雅黑" w:cs="宋体"/>
          <w:b/>
          <w:color w:val="333333"/>
          <w:kern w:val="0"/>
          <w:sz w:val="26"/>
          <w:szCs w:val="26"/>
        </w:rPr>
      </w:pPr>
      <w:r w:rsidRPr="00D317FA">
        <w:rPr>
          <w:rFonts w:ascii="微软雅黑" w:eastAsia="微软雅黑" w:hAnsi="微软雅黑" w:cs="宋体"/>
          <w:b/>
          <w:color w:val="333333"/>
          <w:kern w:val="0"/>
          <w:sz w:val="26"/>
          <w:szCs w:val="26"/>
        </w:rPr>
        <w:t>铜</w:t>
      </w:r>
    </w:p>
    <w:p w:rsidR="00D317FA" w:rsidRPr="00D317FA" w:rsidRDefault="00D317FA" w:rsidP="00D317FA">
      <w:pPr>
        <w:widowControl/>
        <w:jc w:val="center"/>
        <w:rPr>
          <w:rFonts w:ascii="微软雅黑" w:eastAsia="微软雅黑" w:hAnsi="微软雅黑" w:cs="宋体"/>
          <w:b/>
          <w:color w:val="333333"/>
          <w:kern w:val="0"/>
          <w:sz w:val="26"/>
          <w:szCs w:val="26"/>
        </w:rPr>
      </w:pPr>
      <w:r w:rsidRPr="00D317FA">
        <w:rPr>
          <w:rFonts w:ascii="微软雅黑" w:eastAsia="微软雅黑" w:hAnsi="微软雅黑" w:cs="宋体"/>
          <w:b/>
          <w:color w:val="333333"/>
          <w:kern w:val="0"/>
          <w:sz w:val="26"/>
          <w:szCs w:val="26"/>
        </w:rPr>
        <w:t>降息效应很快消退铜市回归基本面</w:t>
      </w:r>
    </w:p>
    <w:p w:rsidR="00D317FA" w:rsidRDefault="00D317FA" w:rsidP="00D317FA">
      <w:pPr>
        <w:pStyle w:val="a8"/>
        <w:widowControl/>
        <w:numPr>
          <w:ilvl w:val="0"/>
          <w:numId w:val="3"/>
        </w:numPr>
        <w:ind w:firstLineChars="0"/>
        <w:jc w:val="center"/>
        <w:rPr>
          <w:rFonts w:ascii="微软雅黑" w:eastAsia="微软雅黑" w:hAnsi="微软雅黑" w:cs="宋体"/>
          <w:color w:val="333333"/>
          <w:kern w:val="0"/>
          <w:sz w:val="26"/>
          <w:szCs w:val="26"/>
        </w:rPr>
      </w:pPr>
      <w:r w:rsidRPr="00D317FA">
        <w:rPr>
          <w:rFonts w:ascii="微软雅黑" w:eastAsia="微软雅黑" w:hAnsi="微软雅黑" w:cs="宋体"/>
          <w:color w:val="333333"/>
          <w:kern w:val="0"/>
          <w:sz w:val="26"/>
          <w:szCs w:val="26"/>
        </w:rPr>
        <w:t>决定铜价走势的主要是宏观经济预期和微观供需基本面，去年来宏观影响更为明显，今年上半年中美贸易摩擦等宏观因素基本主导铜价的涨跌。中期看，宏观上世界经济走缓预期非常明显，特别是欧美发达经济体，近期新兴国家有走稳迹象，尤其是美联储降息预期缓解了新兴市场的压力。另一方面铜供应紧张也成为常态，铜矿罢工也时有发生，铜加工费明显下降，库存明显低于去年同期。总体而言，宏观上中长期走弱，贸易摩擦也不可能短期得以解决，基本面上供应紧张形成多空交织态势，铜价陷入宽幅震荡。</w:t>
      </w:r>
      <w:r w:rsidRPr="00D317FA">
        <w:rPr>
          <w:rFonts w:ascii="微软雅黑" w:eastAsia="微软雅黑" w:hAnsi="微软雅黑" w:cs="宋体" w:hint="eastAsia"/>
          <w:color w:val="333333"/>
          <w:kern w:val="0"/>
          <w:sz w:val="26"/>
          <w:szCs w:val="26"/>
        </w:rPr>
        <w:t>​</w:t>
      </w:r>
      <w:r w:rsidRPr="00D317FA">
        <w:rPr>
          <w:rFonts w:ascii="微软雅黑" w:eastAsia="微软雅黑" w:hAnsi="微软雅黑" w:cs="宋体"/>
          <w:color w:val="333333"/>
          <w:kern w:val="0"/>
          <w:sz w:val="26"/>
          <w:szCs w:val="26"/>
        </w:rPr>
        <w:t>2、中美两国领导人在G20会议期间会晤，同意重</w:t>
      </w:r>
      <w:proofErr w:type="gramStart"/>
      <w:r w:rsidRPr="00D317FA">
        <w:rPr>
          <w:rFonts w:ascii="微软雅黑" w:eastAsia="微软雅黑" w:hAnsi="微软雅黑" w:cs="宋体"/>
          <w:color w:val="333333"/>
          <w:kern w:val="0"/>
          <w:sz w:val="26"/>
          <w:szCs w:val="26"/>
        </w:rPr>
        <w:t>启经贸磋商</w:t>
      </w:r>
      <w:proofErr w:type="gramEnd"/>
      <w:r w:rsidRPr="00D317FA">
        <w:rPr>
          <w:rFonts w:ascii="微软雅黑" w:eastAsia="微软雅黑" w:hAnsi="微软雅黑" w:cs="宋体"/>
          <w:color w:val="333333"/>
          <w:kern w:val="0"/>
          <w:sz w:val="26"/>
          <w:szCs w:val="26"/>
        </w:rPr>
        <w:t>，贸易摩擦忧虑短期减缓。但此后全球宏观经济数据不佳使得铜价大幅回调，世界经济的减缓铜价承压。而美联储的降息预期又给市场短期的刺激。3、微观上铜本身市场结构方面，交易所显性库存时</w:t>
      </w:r>
      <w:r w:rsidRPr="00D317FA">
        <w:rPr>
          <w:rFonts w:ascii="微软雅黑" w:eastAsia="微软雅黑" w:hAnsi="微软雅黑" w:cs="宋体"/>
          <w:color w:val="333333"/>
          <w:kern w:val="0"/>
          <w:sz w:val="26"/>
          <w:szCs w:val="26"/>
        </w:rPr>
        <w:lastRenderedPageBreak/>
        <w:t>有增加，特别是LME经常出现大幅度的交货行为， COMEX库存持续下降周期也基本结束，虽然三大交易所总库存仍低于去年同期，但对铜价的支撑显著下降；另外铜加工费持续下降体现着铜矿的紧张都给铜市一定的支撑，CFTC显示基金持有净空头寸，净空达到两年来的最高水平后空头有所减仓，基金看淡后市但力度并不太强。4、七月初以来，全球经济数据不佳，沪铜创下逾两年低位。之后，中美贸易代表互通电话、美联储降息预期，铜价大涨，创下逾两个月高点。本周预期铜价震荡，本次反弹已经基本结束，上周建议多头减仓后，耐心等待急跌大跌</w:t>
      </w:r>
    </w:p>
    <w:p w:rsidR="00D317FA" w:rsidRDefault="00D317FA" w:rsidP="00D317FA">
      <w:pPr>
        <w:pStyle w:val="a8"/>
        <w:widowControl/>
        <w:ind w:left="360" w:firstLineChars="0" w:firstLine="0"/>
        <w:rPr>
          <w:rFonts w:ascii="微软雅黑" w:eastAsia="微软雅黑" w:hAnsi="微软雅黑" w:cs="宋体"/>
          <w:color w:val="333333"/>
          <w:kern w:val="0"/>
          <w:sz w:val="26"/>
          <w:szCs w:val="26"/>
        </w:rPr>
      </w:pPr>
      <w:r w:rsidRPr="00D317FA">
        <w:rPr>
          <w:rFonts w:ascii="微软雅黑" w:eastAsia="微软雅黑" w:hAnsi="微软雅黑" w:cs="宋体"/>
          <w:color w:val="333333"/>
          <w:kern w:val="0"/>
          <w:sz w:val="26"/>
          <w:szCs w:val="26"/>
        </w:rPr>
        <w:t>机会再买入中期持有。</w:t>
      </w:r>
    </w:p>
    <w:p w:rsidR="00D317FA" w:rsidRPr="00D317FA" w:rsidRDefault="00D317FA" w:rsidP="00D317FA">
      <w:pPr>
        <w:pStyle w:val="a8"/>
        <w:widowControl/>
        <w:ind w:left="360" w:firstLineChars="0" w:firstLine="0"/>
        <w:rPr>
          <w:rFonts w:ascii="微软雅黑" w:eastAsia="微软雅黑" w:hAnsi="微软雅黑" w:cs="宋体"/>
          <w:color w:val="333333"/>
          <w:kern w:val="0"/>
          <w:sz w:val="26"/>
          <w:szCs w:val="26"/>
        </w:rPr>
      </w:pPr>
      <w:r w:rsidRPr="00D317FA">
        <w:rPr>
          <w:rFonts w:ascii="微软雅黑" w:eastAsia="微软雅黑" w:hAnsi="微软雅黑" w:cs="宋体"/>
          <w:color w:val="333333"/>
          <w:kern w:val="0"/>
          <w:sz w:val="26"/>
          <w:szCs w:val="26"/>
        </w:rPr>
        <w:br/>
      </w:r>
      <w:r>
        <w:rPr>
          <w:rFonts w:ascii="微软雅黑" w:eastAsia="微软雅黑" w:hAnsi="微软雅黑" w:cs="宋体" w:hint="eastAsia"/>
          <w:b/>
          <w:color w:val="333333"/>
          <w:kern w:val="0"/>
          <w:sz w:val="26"/>
          <w:szCs w:val="26"/>
        </w:rPr>
        <w:t xml:space="preserve">                           </w:t>
      </w:r>
      <w:r w:rsidRPr="00D317FA">
        <w:rPr>
          <w:rFonts w:ascii="微软雅黑" w:eastAsia="微软雅黑" w:hAnsi="微软雅黑" w:cs="宋体"/>
          <w:b/>
          <w:color w:val="333333"/>
          <w:kern w:val="0"/>
          <w:sz w:val="26"/>
          <w:szCs w:val="26"/>
        </w:rPr>
        <w:t>天然橡胶</w:t>
      </w:r>
    </w:p>
    <w:p w:rsidR="00D317FA" w:rsidRDefault="00D317FA" w:rsidP="00D317FA">
      <w:pPr>
        <w:pStyle w:val="a8"/>
        <w:widowControl/>
        <w:ind w:left="360" w:firstLineChars="0" w:firstLine="0"/>
        <w:jc w:val="left"/>
        <w:rPr>
          <w:rFonts w:ascii="微软雅黑" w:eastAsia="微软雅黑" w:hAnsi="微软雅黑" w:cs="宋体"/>
          <w:color w:val="333333"/>
          <w:kern w:val="0"/>
          <w:sz w:val="26"/>
          <w:szCs w:val="26"/>
        </w:rPr>
      </w:pPr>
      <w:r w:rsidRPr="00D317FA">
        <w:rPr>
          <w:rFonts w:ascii="微软雅黑" w:eastAsia="微软雅黑" w:hAnsi="微软雅黑" w:cs="宋体"/>
          <w:color w:val="333333"/>
          <w:kern w:val="0"/>
          <w:sz w:val="26"/>
          <w:szCs w:val="26"/>
        </w:rPr>
        <w:t>上周沪胶受到泰国北部和东北部干旱消息传出以及印尼胶树病虫害消息刺激，沪胶出现修复性反弹，但此消息对全年产量影响有限，目前属于季节性炒作因素，由于市场前期利空基本宣泄殆尽， 此位置下探空间有限， 操作策略以逢低试多为主，暂不具备趋势性行情。</w:t>
      </w:r>
    </w:p>
    <w:p w:rsidR="00D317FA" w:rsidRPr="00D317FA" w:rsidRDefault="00D317FA" w:rsidP="00D317FA">
      <w:pPr>
        <w:pStyle w:val="a8"/>
        <w:widowControl/>
        <w:ind w:left="360" w:firstLineChars="0" w:firstLine="0"/>
        <w:jc w:val="center"/>
        <w:rPr>
          <w:rFonts w:ascii="微软雅黑" w:eastAsia="微软雅黑" w:hAnsi="微软雅黑" w:cs="宋体"/>
          <w:b/>
          <w:color w:val="333333"/>
          <w:kern w:val="0"/>
          <w:sz w:val="26"/>
          <w:szCs w:val="26"/>
        </w:rPr>
      </w:pPr>
      <w:r w:rsidRPr="00D317FA">
        <w:rPr>
          <w:rFonts w:ascii="微软雅黑" w:eastAsia="微软雅黑" w:hAnsi="微软雅黑" w:cs="宋体"/>
          <w:color w:val="333333"/>
          <w:kern w:val="0"/>
          <w:sz w:val="26"/>
          <w:szCs w:val="26"/>
        </w:rPr>
        <w:br/>
      </w:r>
      <w:r w:rsidRPr="00D317FA">
        <w:rPr>
          <w:rFonts w:ascii="微软雅黑" w:eastAsia="微软雅黑" w:hAnsi="微软雅黑" w:cs="宋体"/>
          <w:b/>
          <w:color w:val="333333"/>
          <w:kern w:val="0"/>
          <w:sz w:val="26"/>
          <w:szCs w:val="26"/>
        </w:rPr>
        <w:t>油脂类</w:t>
      </w:r>
    </w:p>
    <w:p w:rsidR="00D317FA" w:rsidRPr="00D317FA" w:rsidRDefault="00D317FA" w:rsidP="00D317FA">
      <w:pPr>
        <w:pStyle w:val="a8"/>
        <w:widowControl/>
        <w:ind w:left="360" w:firstLineChars="0" w:firstLine="0"/>
        <w:jc w:val="center"/>
        <w:rPr>
          <w:rFonts w:ascii="微软雅黑" w:eastAsia="微软雅黑" w:hAnsi="微软雅黑" w:cs="宋体"/>
          <w:b/>
          <w:color w:val="333333"/>
          <w:kern w:val="0"/>
          <w:sz w:val="26"/>
          <w:szCs w:val="26"/>
        </w:rPr>
      </w:pPr>
      <w:r w:rsidRPr="00D317FA">
        <w:rPr>
          <w:rFonts w:ascii="微软雅黑" w:eastAsia="微软雅黑" w:hAnsi="微软雅黑" w:cs="宋体"/>
          <w:b/>
          <w:color w:val="333333"/>
          <w:kern w:val="0"/>
          <w:sz w:val="26"/>
          <w:szCs w:val="26"/>
        </w:rPr>
        <w:t>库存小幅下滑，油脂价格反弹</w:t>
      </w:r>
    </w:p>
    <w:p w:rsidR="00D317FA" w:rsidRPr="00D317FA" w:rsidRDefault="00D317FA" w:rsidP="00D317FA">
      <w:pPr>
        <w:pStyle w:val="a8"/>
        <w:widowControl/>
        <w:ind w:left="360" w:firstLineChars="0" w:firstLine="0"/>
        <w:jc w:val="left"/>
        <w:rPr>
          <w:rFonts w:ascii="微软雅黑" w:eastAsia="微软雅黑" w:hAnsi="微软雅黑" w:cs="宋体"/>
          <w:color w:val="333333"/>
          <w:kern w:val="0"/>
          <w:sz w:val="26"/>
          <w:szCs w:val="26"/>
        </w:rPr>
      </w:pPr>
      <w:r w:rsidRPr="00D317FA">
        <w:rPr>
          <w:rFonts w:ascii="微软雅黑" w:eastAsia="微软雅黑" w:hAnsi="微软雅黑" w:cs="宋体"/>
          <w:color w:val="333333"/>
          <w:kern w:val="0"/>
          <w:sz w:val="26"/>
          <w:szCs w:val="26"/>
        </w:rPr>
        <w:t>1、油脂类商品大的供需格局改变不大，但短期内由于棕榈油进口利润以及大豆压榨利润均有所下滑，继而导致短期供应降低，库存略有下降。</w:t>
      </w:r>
    </w:p>
    <w:p w:rsidR="00D317FA" w:rsidRPr="00D317FA" w:rsidRDefault="00D317FA" w:rsidP="00D317FA">
      <w:pPr>
        <w:pStyle w:val="a8"/>
        <w:widowControl/>
        <w:ind w:left="360" w:firstLineChars="0" w:firstLine="0"/>
        <w:jc w:val="left"/>
        <w:rPr>
          <w:rFonts w:ascii="微软雅黑" w:eastAsia="微软雅黑" w:hAnsi="微软雅黑" w:cs="宋体"/>
          <w:color w:val="333333"/>
          <w:kern w:val="0"/>
          <w:sz w:val="26"/>
          <w:szCs w:val="26"/>
        </w:rPr>
      </w:pPr>
      <w:r w:rsidRPr="00D317FA">
        <w:rPr>
          <w:rFonts w:ascii="微软雅黑" w:eastAsia="微软雅黑" w:hAnsi="微软雅黑" w:cs="宋体"/>
          <w:color w:val="333333"/>
          <w:kern w:val="0"/>
          <w:sz w:val="26"/>
          <w:szCs w:val="26"/>
        </w:rPr>
        <w:t>2、棕榈油方面，当前仍处于增产周期当中，供需依旧偏松，但前期低迷的价格基本反映了这一基本面状况，当前来看，短期供应小幅下滑叠</w:t>
      </w:r>
      <w:r w:rsidRPr="00D317FA">
        <w:rPr>
          <w:rFonts w:ascii="微软雅黑" w:eastAsia="微软雅黑" w:hAnsi="微软雅黑" w:cs="宋体"/>
          <w:color w:val="333333"/>
          <w:kern w:val="0"/>
          <w:sz w:val="26"/>
          <w:szCs w:val="26"/>
        </w:rPr>
        <w:lastRenderedPageBreak/>
        <w:t>加双节备货预期导致价格出现反弹。但当前的基本面状况并不支持油脂价格牛市，因此棕榈油价格大概率处于4300-4600之间区间震荡。</w:t>
      </w:r>
    </w:p>
    <w:p w:rsidR="00D317FA" w:rsidRPr="00D317FA" w:rsidRDefault="00D317FA" w:rsidP="00D317FA">
      <w:pPr>
        <w:pStyle w:val="a8"/>
        <w:widowControl/>
        <w:ind w:left="360" w:firstLineChars="0" w:firstLine="0"/>
        <w:jc w:val="left"/>
        <w:rPr>
          <w:rFonts w:ascii="微软雅黑" w:eastAsia="微软雅黑" w:hAnsi="微软雅黑" w:cs="宋体"/>
          <w:color w:val="333333"/>
          <w:kern w:val="0"/>
          <w:sz w:val="26"/>
          <w:szCs w:val="26"/>
        </w:rPr>
      </w:pPr>
      <w:r w:rsidRPr="00D317FA">
        <w:rPr>
          <w:rFonts w:ascii="微软雅黑" w:eastAsia="微软雅黑" w:hAnsi="微软雅黑" w:cs="宋体"/>
          <w:color w:val="333333"/>
          <w:kern w:val="0"/>
          <w:sz w:val="26"/>
          <w:szCs w:val="26"/>
        </w:rPr>
        <w:t>3、豆油方面，前期压榨利润大幅下滑，且豆油价格持续处于低位，随着压榨量的逐步降低，豆油供给短期内同样略有缓和，导致价格出现反弹。然而，豆油基本面整体宽松的大环境依旧需要时间消化，目前而言仍处于区间震荡当中。</w:t>
      </w:r>
    </w:p>
    <w:p w:rsidR="00D317FA" w:rsidRDefault="00D317FA" w:rsidP="00D317FA">
      <w:pPr>
        <w:pStyle w:val="a8"/>
        <w:widowControl/>
        <w:ind w:left="360" w:firstLineChars="0" w:firstLine="0"/>
        <w:jc w:val="left"/>
        <w:rPr>
          <w:rFonts w:ascii="微软雅黑" w:eastAsia="微软雅黑" w:hAnsi="微软雅黑" w:cs="宋体"/>
          <w:color w:val="333333"/>
          <w:kern w:val="0"/>
          <w:sz w:val="26"/>
          <w:szCs w:val="26"/>
        </w:rPr>
      </w:pPr>
      <w:r w:rsidRPr="00D317FA">
        <w:rPr>
          <w:rFonts w:ascii="微软雅黑" w:eastAsia="微软雅黑" w:hAnsi="微软雅黑" w:cs="宋体"/>
          <w:color w:val="333333"/>
          <w:kern w:val="0"/>
          <w:sz w:val="26"/>
          <w:szCs w:val="26"/>
        </w:rPr>
        <w:t>4、豆棕价差方面，大方向考虑多豆空棕，当前价差1200附近，继续上行空间有限，操作上考虑逐步减仓兑现收益。</w:t>
      </w:r>
      <w:r w:rsidRPr="00D317FA">
        <w:rPr>
          <w:rFonts w:ascii="微软雅黑" w:eastAsia="微软雅黑" w:hAnsi="微软雅黑" w:cs="宋体"/>
          <w:color w:val="333333"/>
          <w:kern w:val="0"/>
          <w:sz w:val="26"/>
          <w:szCs w:val="26"/>
        </w:rPr>
        <w:br/>
      </w:r>
    </w:p>
    <w:p w:rsidR="00D317FA" w:rsidRPr="00D317FA" w:rsidRDefault="00D317FA" w:rsidP="00D317FA">
      <w:pPr>
        <w:pStyle w:val="a8"/>
        <w:widowControl/>
        <w:ind w:left="360" w:firstLineChars="0" w:firstLine="0"/>
        <w:jc w:val="center"/>
        <w:rPr>
          <w:rFonts w:ascii="微软雅黑" w:eastAsia="微软雅黑" w:hAnsi="微软雅黑" w:cs="宋体"/>
          <w:b/>
          <w:color w:val="333333"/>
          <w:kern w:val="0"/>
          <w:sz w:val="26"/>
          <w:szCs w:val="26"/>
        </w:rPr>
      </w:pPr>
      <w:r w:rsidRPr="00D317FA">
        <w:rPr>
          <w:rFonts w:ascii="微软雅黑" w:eastAsia="微软雅黑" w:hAnsi="微软雅黑" w:cs="宋体"/>
          <w:b/>
          <w:color w:val="333333"/>
          <w:kern w:val="0"/>
          <w:sz w:val="26"/>
          <w:szCs w:val="26"/>
        </w:rPr>
        <w:t>白糖</w:t>
      </w:r>
    </w:p>
    <w:p w:rsidR="00D317FA" w:rsidRPr="00D317FA" w:rsidRDefault="00D317FA" w:rsidP="00D317FA">
      <w:pPr>
        <w:pStyle w:val="a8"/>
        <w:widowControl/>
        <w:ind w:left="360" w:firstLineChars="0" w:firstLine="0"/>
        <w:jc w:val="center"/>
        <w:rPr>
          <w:rFonts w:ascii="微软雅黑" w:eastAsia="微软雅黑" w:hAnsi="微软雅黑" w:cs="宋体"/>
          <w:b/>
          <w:color w:val="333333"/>
          <w:kern w:val="0"/>
          <w:sz w:val="26"/>
          <w:szCs w:val="26"/>
        </w:rPr>
      </w:pPr>
      <w:r w:rsidRPr="00D317FA">
        <w:rPr>
          <w:rFonts w:ascii="微软雅黑" w:eastAsia="微软雅黑" w:hAnsi="微软雅黑" w:cs="宋体"/>
          <w:b/>
          <w:color w:val="333333"/>
          <w:kern w:val="0"/>
          <w:sz w:val="26"/>
          <w:szCs w:val="26"/>
        </w:rPr>
        <w:t>郑糖突破上涨，原糖压力重重</w:t>
      </w:r>
    </w:p>
    <w:p w:rsidR="00D317FA" w:rsidRPr="00D317FA" w:rsidRDefault="00D317FA" w:rsidP="00D317FA">
      <w:pPr>
        <w:pStyle w:val="a8"/>
        <w:widowControl/>
        <w:ind w:left="360" w:firstLineChars="0" w:firstLine="0"/>
        <w:jc w:val="left"/>
        <w:rPr>
          <w:rFonts w:ascii="微软雅黑" w:eastAsia="微软雅黑" w:hAnsi="微软雅黑" w:cs="宋体"/>
          <w:color w:val="333333"/>
          <w:kern w:val="0"/>
          <w:sz w:val="26"/>
          <w:szCs w:val="26"/>
        </w:rPr>
      </w:pPr>
      <w:r w:rsidRPr="00D317FA">
        <w:rPr>
          <w:rFonts w:ascii="微软雅黑" w:eastAsia="微软雅黑" w:hAnsi="微软雅黑" w:cs="宋体"/>
          <w:color w:val="333333"/>
          <w:kern w:val="0"/>
          <w:sz w:val="26"/>
          <w:szCs w:val="26"/>
        </w:rPr>
        <w:t>1、近期郑糖和原糖发生背离，郑糖由于进口数据减少和销售持续火爆，双重利多使得价格突破震荡区间上边界。本周预计价格继续上涨，向前高5450发起冲击。</w:t>
      </w:r>
    </w:p>
    <w:p w:rsidR="00D317FA" w:rsidRDefault="00D317FA" w:rsidP="00D317FA">
      <w:pPr>
        <w:pStyle w:val="a8"/>
        <w:widowControl/>
        <w:ind w:left="360" w:firstLineChars="0" w:firstLine="0"/>
        <w:jc w:val="left"/>
        <w:rPr>
          <w:rFonts w:ascii="微软雅黑" w:eastAsia="微软雅黑" w:hAnsi="微软雅黑" w:cs="宋体"/>
          <w:b/>
          <w:color w:val="333333"/>
          <w:kern w:val="0"/>
          <w:sz w:val="26"/>
          <w:szCs w:val="26"/>
        </w:rPr>
      </w:pPr>
      <w:r w:rsidRPr="00D317FA">
        <w:rPr>
          <w:rFonts w:ascii="微软雅黑" w:eastAsia="微软雅黑" w:hAnsi="微软雅黑" w:cs="宋体"/>
          <w:color w:val="333333"/>
          <w:kern w:val="0"/>
          <w:sz w:val="26"/>
          <w:szCs w:val="26"/>
        </w:rPr>
        <w:t>2、原糖价格第三次触及年度低点11.86美分后大幅反弹。巴西产量和出口量的减少与印度加大力度补贴出口形成一对矛盾体，使得原糖价格无法形成单边行情。本周预计原糖价格向前期高点13.14一带上涨。</w:t>
      </w:r>
      <w:r w:rsidRPr="00D317FA">
        <w:rPr>
          <w:rFonts w:ascii="微软雅黑" w:eastAsia="微软雅黑" w:hAnsi="微软雅黑" w:cs="宋体"/>
          <w:color w:val="333333"/>
          <w:kern w:val="0"/>
          <w:sz w:val="26"/>
          <w:szCs w:val="26"/>
        </w:rPr>
        <w:br/>
      </w:r>
    </w:p>
    <w:p w:rsidR="00D317FA" w:rsidRPr="00D317FA" w:rsidRDefault="00D317FA" w:rsidP="00D317FA">
      <w:pPr>
        <w:pStyle w:val="a8"/>
        <w:widowControl/>
        <w:ind w:left="360" w:firstLineChars="0" w:firstLine="0"/>
        <w:jc w:val="center"/>
        <w:rPr>
          <w:rFonts w:ascii="宋体" w:eastAsia="宋体" w:hAnsi="宋体" w:cs="宋体"/>
          <w:kern w:val="0"/>
          <w:sz w:val="24"/>
          <w:szCs w:val="24"/>
        </w:rPr>
      </w:pPr>
      <w:r w:rsidRPr="00D317FA">
        <w:rPr>
          <w:rFonts w:ascii="微软雅黑" w:eastAsia="微软雅黑" w:hAnsi="微软雅黑" w:cs="宋体"/>
          <w:b/>
          <w:color w:val="333333"/>
          <w:kern w:val="0"/>
          <w:sz w:val="26"/>
          <w:szCs w:val="26"/>
        </w:rPr>
        <w:t>菜粕</w:t>
      </w:r>
      <w:r w:rsidRPr="00D317FA">
        <w:rPr>
          <w:rFonts w:ascii="宋体" w:eastAsia="宋体" w:hAnsi="宋体" w:cs="宋体"/>
          <w:kern w:val="0"/>
          <w:sz w:val="24"/>
          <w:szCs w:val="24"/>
        </w:rPr>
        <w:br/>
      </w:r>
      <w:r w:rsidRPr="00D317FA">
        <w:rPr>
          <w:rFonts w:ascii="宋体" w:eastAsia="宋体" w:hAnsi="宋体" w:cs="宋体"/>
          <w:b/>
          <w:bCs/>
          <w:kern w:val="0"/>
          <w:sz w:val="24"/>
          <w:szCs w:val="24"/>
        </w:rPr>
        <w:t>菜粕震荡偏弱</w:t>
      </w:r>
    </w:p>
    <w:p w:rsidR="00D317FA" w:rsidRPr="00D317FA" w:rsidRDefault="00D317FA" w:rsidP="00D317FA">
      <w:pPr>
        <w:widowControl/>
        <w:rPr>
          <w:rFonts w:ascii="微软雅黑" w:eastAsia="微软雅黑" w:hAnsi="微软雅黑" w:cs="宋体"/>
          <w:color w:val="333333"/>
          <w:kern w:val="0"/>
          <w:sz w:val="26"/>
          <w:szCs w:val="26"/>
        </w:rPr>
      </w:pPr>
      <w:r w:rsidRPr="00D317FA">
        <w:rPr>
          <w:rFonts w:ascii="微软雅黑" w:eastAsia="微软雅黑" w:hAnsi="微软雅黑" w:cs="宋体" w:hint="eastAsia"/>
          <w:color w:val="333333"/>
          <w:kern w:val="0"/>
          <w:sz w:val="26"/>
          <w:szCs w:val="26"/>
        </w:rPr>
        <w:t>本周菜粕主力1909合约继续偏弱走势。益海等企业周二周三买入四船，传言本周新增买入四船菜籽，利空国内粕类。除此之外，利空因素还在于非洲猪瘟蔓延、豆粕的影响以及，但短期中加关系难解决，菜籽供应趋紧，</w:t>
      </w:r>
      <w:r w:rsidRPr="00D317FA">
        <w:rPr>
          <w:rFonts w:ascii="微软雅黑" w:eastAsia="微软雅黑" w:hAnsi="微软雅黑" w:cs="宋体" w:hint="eastAsia"/>
          <w:color w:val="333333"/>
          <w:kern w:val="0"/>
          <w:sz w:val="26"/>
          <w:szCs w:val="26"/>
        </w:rPr>
        <w:lastRenderedPageBreak/>
        <w:t>以及美豆主产区天气炒作随时可能重启，又限制跌幅。近期主要受到豆粕偏弱影响，短期预计继续跟随豆粕偏弱运行。</w:t>
      </w:r>
    </w:p>
    <w:p w:rsidR="00D317FA" w:rsidRPr="00D317FA" w:rsidRDefault="00D317FA" w:rsidP="00D317FA">
      <w:pPr>
        <w:widowControl/>
        <w:rPr>
          <w:rFonts w:ascii="微软雅黑" w:eastAsia="微软雅黑" w:hAnsi="微软雅黑" w:cs="宋体"/>
          <w:color w:val="333333"/>
          <w:kern w:val="0"/>
          <w:sz w:val="26"/>
          <w:szCs w:val="26"/>
        </w:rPr>
      </w:pPr>
    </w:p>
    <w:p w:rsidR="00D317FA" w:rsidRPr="00D317FA" w:rsidRDefault="00D317FA" w:rsidP="00D317FA">
      <w:pPr>
        <w:widowControl/>
        <w:rPr>
          <w:rFonts w:ascii="微软雅黑" w:eastAsia="微软雅黑" w:hAnsi="微软雅黑" w:cs="宋体"/>
          <w:color w:val="333333"/>
          <w:kern w:val="0"/>
          <w:sz w:val="26"/>
          <w:szCs w:val="26"/>
        </w:rPr>
      </w:pPr>
      <w:r w:rsidRPr="00D317FA">
        <w:rPr>
          <w:rFonts w:ascii="微软雅黑" w:eastAsia="微软雅黑" w:hAnsi="微软雅黑" w:cs="宋体" w:hint="eastAsia"/>
          <w:b/>
          <w:bCs/>
          <w:color w:val="333333"/>
          <w:kern w:val="0"/>
          <w:sz w:val="23"/>
        </w:rPr>
        <w:t>免责声明：本研究报告由金鹏经济研究所提供，其中观点仅代表分析师个人观点，出现的价位及操作建议仅体现分析师个人分析思路，分析师力求报告内容所述信息的可靠、准确及完整，但不保证报告所述信息及结论的准确性。本报告所提出的观点、结论和建议仅供投资者参考，不能当然作为投资研究决策的依据，也不能成为本公司承担明示或暗示的道义或法律责任的依据。 </w:t>
      </w:r>
    </w:p>
    <w:p w:rsidR="00D317FA" w:rsidRPr="002F36DF" w:rsidRDefault="00D317FA" w:rsidP="002F36DF">
      <w:pPr>
        <w:widowControl/>
        <w:rPr>
          <w:rFonts w:ascii="微软雅黑" w:hAnsi="微软雅黑" w:cs="宋体"/>
          <w:color w:val="333333"/>
          <w:kern w:val="0"/>
          <w:sz w:val="26"/>
          <w:szCs w:val="26"/>
        </w:rPr>
      </w:pPr>
    </w:p>
    <w:sectPr w:rsidR="00D317FA" w:rsidRPr="002F36DF" w:rsidSect="007826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F14" w:rsidRDefault="00565F14" w:rsidP="00D317FA">
      <w:r>
        <w:separator/>
      </w:r>
    </w:p>
  </w:endnote>
  <w:endnote w:type="continuationSeparator" w:id="0">
    <w:p w:rsidR="00565F14" w:rsidRDefault="00565F14" w:rsidP="00D317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F14" w:rsidRDefault="00565F14" w:rsidP="00D317FA">
      <w:r>
        <w:separator/>
      </w:r>
    </w:p>
  </w:footnote>
  <w:footnote w:type="continuationSeparator" w:id="0">
    <w:p w:rsidR="00565F14" w:rsidRDefault="00565F14" w:rsidP="00D317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2072F"/>
    <w:multiLevelType w:val="hybridMultilevel"/>
    <w:tmpl w:val="A5C85B8E"/>
    <w:lvl w:ilvl="0" w:tplc="2F2C07EE">
      <w:start w:val="1"/>
      <w:numFmt w:val="decimal"/>
      <w:lvlText w:val="%1、"/>
      <w:lvlJc w:val="left"/>
      <w:pPr>
        <w:ind w:left="360" w:hanging="360"/>
      </w:pPr>
      <w:rPr>
        <w:rFonts w:hint="default"/>
        <w:b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28254D3"/>
    <w:multiLevelType w:val="hybridMultilevel"/>
    <w:tmpl w:val="E72AFA7C"/>
    <w:lvl w:ilvl="0" w:tplc="760A00EE">
      <w:start w:val="1"/>
      <w:numFmt w:val="decimal"/>
      <w:lvlText w:val="%1、"/>
      <w:lvlJc w:val="left"/>
      <w:pPr>
        <w:ind w:left="720" w:hanging="360"/>
      </w:pPr>
      <w:rPr>
        <w:rFonts w:hint="default"/>
        <w:b w:val="0"/>
        <w:sz w:val="24"/>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7ACF26E8"/>
    <w:multiLevelType w:val="hybridMultilevel"/>
    <w:tmpl w:val="C9DEE25C"/>
    <w:lvl w:ilvl="0" w:tplc="FA565E16">
      <w:start w:val="1"/>
      <w:numFmt w:val="decimal"/>
      <w:lvlText w:val="%1、"/>
      <w:lvlJc w:val="left"/>
      <w:pPr>
        <w:ind w:left="360" w:hanging="360"/>
      </w:pPr>
      <w:rPr>
        <w:rFonts w:hint="default"/>
        <w:b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17FA"/>
    <w:rsid w:val="002F36DF"/>
    <w:rsid w:val="00565F14"/>
    <w:rsid w:val="0078269F"/>
    <w:rsid w:val="00C01B42"/>
    <w:rsid w:val="00D317FA"/>
    <w:rsid w:val="00FF1F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6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17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17FA"/>
    <w:rPr>
      <w:sz w:val="18"/>
      <w:szCs w:val="18"/>
    </w:rPr>
  </w:style>
  <w:style w:type="paragraph" w:styleId="a4">
    <w:name w:val="footer"/>
    <w:basedOn w:val="a"/>
    <w:link w:val="Char0"/>
    <w:uiPriority w:val="99"/>
    <w:semiHidden/>
    <w:unhideWhenUsed/>
    <w:rsid w:val="00D317F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317FA"/>
    <w:rPr>
      <w:sz w:val="18"/>
      <w:szCs w:val="18"/>
    </w:rPr>
  </w:style>
  <w:style w:type="paragraph" w:styleId="a5">
    <w:name w:val="Normal (Web)"/>
    <w:basedOn w:val="a"/>
    <w:uiPriority w:val="99"/>
    <w:semiHidden/>
    <w:unhideWhenUsed/>
    <w:rsid w:val="00D317F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317FA"/>
    <w:rPr>
      <w:b/>
      <w:bCs/>
    </w:rPr>
  </w:style>
  <w:style w:type="paragraph" w:styleId="a7">
    <w:name w:val="Balloon Text"/>
    <w:basedOn w:val="a"/>
    <w:link w:val="Char1"/>
    <w:uiPriority w:val="99"/>
    <w:semiHidden/>
    <w:unhideWhenUsed/>
    <w:rsid w:val="00D317FA"/>
    <w:rPr>
      <w:sz w:val="18"/>
      <w:szCs w:val="18"/>
    </w:rPr>
  </w:style>
  <w:style w:type="character" w:customStyle="1" w:styleId="Char1">
    <w:name w:val="批注框文本 Char"/>
    <w:basedOn w:val="a0"/>
    <w:link w:val="a7"/>
    <w:uiPriority w:val="99"/>
    <w:semiHidden/>
    <w:rsid w:val="00D317FA"/>
    <w:rPr>
      <w:sz w:val="18"/>
      <w:szCs w:val="18"/>
    </w:rPr>
  </w:style>
  <w:style w:type="paragraph" w:styleId="a8">
    <w:name w:val="List Paragraph"/>
    <w:basedOn w:val="a"/>
    <w:uiPriority w:val="34"/>
    <w:qFormat/>
    <w:rsid w:val="00D317FA"/>
    <w:pPr>
      <w:ind w:firstLineChars="200" w:firstLine="420"/>
    </w:pPr>
  </w:style>
</w:styles>
</file>

<file path=word/webSettings.xml><?xml version="1.0" encoding="utf-8"?>
<w:webSettings xmlns:r="http://schemas.openxmlformats.org/officeDocument/2006/relationships" xmlns:w="http://schemas.openxmlformats.org/wordprocessingml/2006/main">
  <w:divs>
    <w:div w:id="39014408">
      <w:bodyDiv w:val="1"/>
      <w:marLeft w:val="0"/>
      <w:marRight w:val="0"/>
      <w:marTop w:val="0"/>
      <w:marBottom w:val="0"/>
      <w:divBdr>
        <w:top w:val="none" w:sz="0" w:space="0" w:color="auto"/>
        <w:left w:val="none" w:sz="0" w:space="0" w:color="auto"/>
        <w:bottom w:val="none" w:sz="0" w:space="0" w:color="auto"/>
        <w:right w:val="none" w:sz="0" w:space="0" w:color="auto"/>
      </w:divBdr>
    </w:div>
    <w:div w:id="34648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249</Words>
  <Characters>1421</Characters>
  <Application>Microsoft Office Word</Application>
  <DocSecurity>0</DocSecurity>
  <Lines>11</Lines>
  <Paragraphs>3</Paragraphs>
  <ScaleCrop>false</ScaleCrop>
  <Company>IT</Company>
  <LinksUpToDate>false</LinksUpToDate>
  <CharactersWithSpaces>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Sky</cp:lastModifiedBy>
  <cp:revision>3</cp:revision>
  <dcterms:created xsi:type="dcterms:W3CDTF">2019-07-31T07:08:00Z</dcterms:created>
  <dcterms:modified xsi:type="dcterms:W3CDTF">2019-07-31T07:13:00Z</dcterms:modified>
</cp:coreProperties>
</file>