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9E43F3">
        <w:rPr>
          <w:rFonts w:asciiTheme="minorEastAsia" w:hAnsiTheme="minorEastAsia" w:hint="eastAsia"/>
          <w:sz w:val="24"/>
        </w:rPr>
        <w:t>3</w:t>
      </w:r>
      <w:r w:rsidR="00EF457A">
        <w:rPr>
          <w:rFonts w:asciiTheme="minorEastAsia" w:hAnsiTheme="minorEastAsia" w:hint="eastAsia"/>
          <w:sz w:val="24"/>
        </w:rPr>
        <w:t>25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EF457A">
        <w:rPr>
          <w:rFonts w:asciiTheme="minorEastAsia" w:hAnsiTheme="minorEastAsia" w:hint="eastAsia"/>
          <w:sz w:val="24"/>
        </w:rPr>
        <w:t>494</w:t>
      </w:r>
      <w:r w:rsidRPr="00DB29D8">
        <w:rPr>
          <w:rFonts w:asciiTheme="minorEastAsia" w:hAnsiTheme="minorEastAsia" w:hint="eastAsia"/>
          <w:sz w:val="24"/>
        </w:rPr>
        <w:t>，单周</w:t>
      </w:r>
      <w:r w:rsidR="009E43F3">
        <w:rPr>
          <w:rFonts w:asciiTheme="minorEastAsia" w:hAnsiTheme="minorEastAsia" w:hint="eastAsia"/>
          <w:sz w:val="24"/>
        </w:rPr>
        <w:t>上涨</w:t>
      </w:r>
      <w:r w:rsidR="00EF457A">
        <w:rPr>
          <w:rFonts w:asciiTheme="minorEastAsia" w:hAnsiTheme="minorEastAsia" w:hint="eastAsia"/>
          <w:sz w:val="24"/>
        </w:rPr>
        <w:t>2.92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A25AD9">
        <w:rPr>
          <w:rFonts w:asciiTheme="minorEastAsia" w:hAnsiTheme="minorEastAsia" w:hint="eastAsia"/>
          <w:sz w:val="24"/>
        </w:rPr>
        <w:t>上周</w:t>
      </w:r>
      <w:r w:rsidR="00EF457A">
        <w:rPr>
          <w:rFonts w:asciiTheme="minorEastAsia" w:hAnsiTheme="minorEastAsia" w:hint="eastAsia"/>
          <w:sz w:val="24"/>
        </w:rPr>
        <w:t>开始郑糖继续偏强震荡，周五市场突然发力，大幅上涨，逼近5500.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EF457A" w:rsidRDefault="00EF457A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EF457A">
        <w:rPr>
          <w:rFonts w:asciiTheme="minorEastAsia" w:hAnsiTheme="minorEastAsia" w:hint="eastAsia"/>
          <w:color w:val="000000"/>
          <w:sz w:val="24"/>
        </w:rPr>
        <w:t>巴西甘蔗行业协会UNICA公布的报告显示，7月下半月巴西中南部糖产量为247.79万吨，同比下降5.42%。2019/20榨季截至8月1日，累计糖产量为1333.67万吨，同比减少近150万吨。7月下半月巴西中南部甘蔗压榨量为4969万吨，同比增加4.25%。2019/20榨季截至8月1日，累计甘蔗压榨量为3.0781亿吨，同比下降2.75%。</w:t>
      </w:r>
    </w:p>
    <w:p w:rsidR="009E43F3" w:rsidRDefault="00EF457A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EF457A">
        <w:rPr>
          <w:rFonts w:asciiTheme="minorEastAsia" w:hAnsiTheme="minorEastAsia" w:hint="eastAsia"/>
          <w:color w:val="000000"/>
          <w:sz w:val="24"/>
        </w:rPr>
        <w:t>巴西甘蔗技术中心（CTC）对糖厂的抽样调查显示，7月甘蔗单产为81.28吨/公顷，同比增加3.73%。2019/20截至7月的甘蔗单产为83.78吨/公顷，同比增加3.05%。7月下半月乙醇产量为26.5亿公升，同比小增0.3亿公升。7月下半月巴西中南部甘蔗制糖比例为37.04%，而上年同期为38.35%。2019/20榨季截至8月1日，累计甘蔗制糖比例为35.31%,上年同期为36.46%。</w:t>
      </w:r>
    </w:p>
    <w:p w:rsidR="00EF457A" w:rsidRPr="005834ED" w:rsidRDefault="00EF457A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上周五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继续以百元以上的涨幅收盘。主产区现货报价基本持稳，仅广西集团上调10元/吨，总体成交一般偏好，具体情况如下：广西：南宁中间商站台暂无报价；仓库报价5600-5750元/吨，报价不变，成交一般。南宁集团厂仓报价5610-5670元/吨，上调10元/吨，成交一般。柳州中间商站台报价5660-5670元/吨；仓库报价5630-5670元/吨，报价不变，成交一般。柳州集团站台报价5670-5680元/吨，上调10元/吨，成交一般。来宾中间商仓库报价5620-5690元/吨。贵港中间商仓库报价5670-5700元/吨。云南：昆明中间商报价5580-5760元/吨；大理报价5540-5590元/吨；祥云报价5450-5730元/吨。云南集团昆明</w:t>
      </w:r>
      <w:r w:rsidR="00EF457A" w:rsidRPr="00EF457A">
        <w:rPr>
          <w:rFonts w:asciiTheme="minorEastAsia" w:hAnsiTheme="minorEastAsia" w:hint="eastAsia"/>
          <w:color w:val="000000"/>
          <w:sz w:val="24"/>
        </w:rPr>
        <w:lastRenderedPageBreak/>
        <w:t>报价5610-5630元/吨；大理报价5570-5590元/吨。广东：湛江中间商报价5650-5700元/吨。新疆：乌鲁木齐中间商报价5600-5700元/吨。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2022C6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巴西中南部压榨数据表明巴西今年很可能继续保持比较低的糖产量，缓解国际糖市的供应过剩，提振原糖走势。国内方面，郑糖周五继续上冲，接近前期高点。本轮上涨，主要是由于现货市场在消费旺季不断上调报价，随着期价接近前高，要提防</w:t>
      </w:r>
      <w:r w:rsidR="008B66B8">
        <w:rPr>
          <w:rFonts w:asciiTheme="minorEastAsia" w:hAnsiTheme="minorEastAsia" w:hint="eastAsia"/>
          <w:color w:val="000000"/>
          <w:sz w:val="24"/>
        </w:rPr>
        <w:t>风险，预计本周郑糖走势仍然偏强。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8B66B8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 w:rsidRPr="008B66B8"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</w:t>
      </w:r>
      <w:r w:rsidR="008B66B8">
        <w:rPr>
          <w:rFonts w:asciiTheme="minorEastAsia" w:hAnsiTheme="minorEastAsia" w:hint="eastAsia"/>
          <w:color w:val="000000"/>
          <w:sz w:val="24"/>
        </w:rPr>
        <w:t>继续震荡上涨，波动比较大。期权方面1909合约到期后，2001合约时间还过长，暂时可以空仓等待。</w:t>
      </w:r>
      <w:bookmarkStart w:id="0" w:name="_GoBack"/>
      <w:bookmarkEnd w:id="0"/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</w:t>
      </w:r>
      <w:r>
        <w:rPr>
          <w:rFonts w:hint="eastAsia"/>
          <w:b/>
          <w:bCs/>
          <w:sz w:val="24"/>
        </w:rPr>
        <w:lastRenderedPageBreak/>
        <w:t>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A4" w:rsidRDefault="00F12DA4" w:rsidP="00F44943">
      <w:r>
        <w:separator/>
      </w:r>
    </w:p>
  </w:endnote>
  <w:endnote w:type="continuationSeparator" w:id="0">
    <w:p w:rsidR="00F12DA4" w:rsidRDefault="00F12DA4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A4" w:rsidRDefault="00F12DA4" w:rsidP="00F44943">
      <w:r>
        <w:separator/>
      </w:r>
    </w:p>
  </w:footnote>
  <w:footnote w:type="continuationSeparator" w:id="0">
    <w:p w:rsidR="00F12DA4" w:rsidRDefault="00F12DA4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553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39EE"/>
    <w:rsid w:val="008D425F"/>
    <w:rsid w:val="008E6683"/>
    <w:rsid w:val="008E7A0A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3AE42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00431-C875-4E03-9F3E-D11382B7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2019-08-13T01:47:00Z</dcterms:created>
  <dcterms:modified xsi:type="dcterms:W3CDTF">2019-08-13T02:08:00Z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