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71" w:rsidRPr="00D40771" w:rsidRDefault="00D40771" w:rsidP="00D40771">
      <w:pPr>
        <w:widowControl/>
        <w:spacing w:line="480" w:lineRule="auto"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435239"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铜</w:t>
      </w:r>
    </w:p>
    <w:p w:rsidR="00D40771" w:rsidRDefault="00D40771" w:rsidP="00D40771">
      <w:pPr>
        <w:widowControl/>
        <w:spacing w:line="480" w:lineRule="auto"/>
        <w:jc w:val="center"/>
        <w:rPr>
          <w:rFonts w:ascii="宋体" w:eastAsia="宋体" w:hAnsi="宋体" w:cs="宋体" w:hint="eastAsia"/>
          <w:b/>
          <w:bCs/>
          <w:kern w:val="0"/>
        </w:rPr>
      </w:pPr>
      <w:r w:rsidRPr="00D40771">
        <w:rPr>
          <w:rFonts w:ascii="宋体" w:eastAsia="宋体" w:hAnsi="宋体" w:cs="宋体" w:hint="eastAsia"/>
          <w:b/>
          <w:bCs/>
          <w:kern w:val="0"/>
        </w:rPr>
        <w:t>中美贸易摩擦又起波澜，铜价承压</w:t>
      </w:r>
    </w:p>
    <w:p w:rsidR="00D40771" w:rsidRDefault="00D40771" w:rsidP="00D40771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0771">
        <w:rPr>
          <w:rFonts w:ascii="宋体" w:eastAsia="宋体" w:hAnsi="宋体" w:cs="宋体" w:hint="eastAsia"/>
          <w:kern w:val="0"/>
          <w:sz w:val="24"/>
          <w:szCs w:val="24"/>
        </w:rPr>
        <w:t>1、决定铜价走势的主要是宏观经济预期和微观供需基本面，去年来宏观影响更为明显，今年上半年中美贸易摩擦等宏观因素基本主导铜价的涨跌。中期看，宏观上世界经济走缓预期非常明显，特别是欧美发达经济体，全球很多国家与地区又重新进入降息模式。另一方面铜供应紧张也成为常态，铜矿罢工也时有发生，铜加工费明显下降，库存明显低于去年同期。总体而言，宏观上中长期走弱，贸易摩擦也不可能短期得以解决，基本面上供应紧张形成多空交织态势，铜价陷入宽幅震荡。</w:t>
      </w:r>
    </w:p>
    <w:p w:rsidR="00D40771" w:rsidRDefault="00D40771" w:rsidP="00D40771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0771">
        <w:rPr>
          <w:rFonts w:ascii="宋体" w:eastAsia="宋体" w:hAnsi="宋体" w:cs="宋体" w:hint="eastAsia"/>
          <w:kern w:val="0"/>
          <w:sz w:val="24"/>
          <w:szCs w:val="24"/>
        </w:rPr>
        <w:t>2、中美两国领导人在G20会议期间会晤，同意重</w:t>
      </w:r>
      <w:proofErr w:type="gramStart"/>
      <w:r w:rsidRPr="00D40771">
        <w:rPr>
          <w:rFonts w:ascii="宋体" w:eastAsia="宋体" w:hAnsi="宋体" w:cs="宋体" w:hint="eastAsia"/>
          <w:kern w:val="0"/>
          <w:sz w:val="24"/>
          <w:szCs w:val="24"/>
        </w:rPr>
        <w:t>启经贸磋商</w:t>
      </w:r>
      <w:proofErr w:type="gramEnd"/>
      <w:r w:rsidRPr="00D40771">
        <w:rPr>
          <w:rFonts w:ascii="宋体" w:eastAsia="宋体" w:hAnsi="宋体" w:cs="宋体" w:hint="eastAsia"/>
          <w:kern w:val="0"/>
          <w:sz w:val="24"/>
          <w:szCs w:val="24"/>
        </w:rPr>
        <w:t>，中美在上海也举行了磋商，但美方出尔反尔使得贸易摩擦前景预期并不太乐观，上周末中国提出对美商品进行关税反制，美国总统特朗普又升级至5500亿商品的加征，中美贸易摩擦升级。</w:t>
      </w:r>
    </w:p>
    <w:p w:rsidR="00D40771" w:rsidRDefault="00D40771" w:rsidP="00D40771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0771">
        <w:rPr>
          <w:rFonts w:ascii="宋体" w:eastAsia="宋体" w:hAnsi="宋体" w:cs="宋体" w:hint="eastAsia"/>
          <w:kern w:val="0"/>
          <w:sz w:val="24"/>
          <w:szCs w:val="24"/>
        </w:rPr>
        <w:t>3、微观上</w:t>
      </w:r>
      <w:proofErr w:type="gramStart"/>
      <w:r w:rsidRPr="00D40771">
        <w:rPr>
          <w:rFonts w:ascii="宋体" w:eastAsia="宋体" w:hAnsi="宋体" w:cs="宋体" w:hint="eastAsia"/>
          <w:kern w:val="0"/>
          <w:sz w:val="24"/>
          <w:szCs w:val="24"/>
        </w:rPr>
        <w:t>铜本身</w:t>
      </w:r>
      <w:proofErr w:type="gramEnd"/>
      <w:r w:rsidRPr="00D40771">
        <w:rPr>
          <w:rFonts w:ascii="宋体" w:eastAsia="宋体" w:hAnsi="宋体" w:cs="宋体" w:hint="eastAsia"/>
          <w:kern w:val="0"/>
          <w:sz w:val="24"/>
          <w:szCs w:val="24"/>
        </w:rPr>
        <w:t>市场结构方面，交易所显性库存时有增加，特别是LME经常出现大幅度的交货行为，COMEX库存持续下降周期基本结束，中国市场消费也是鲜有亮点，虽然三大交易所总库存仍低于去年同期，但下降速度不及去年，对铜价的支撑显著下降；CFTC显示基金近段大幅持有空头头寸，基金空单已经达到历史最高水平，基金看淡后市非常明显。</w:t>
      </w:r>
    </w:p>
    <w:p w:rsidR="00D40771" w:rsidRPr="00D40771" w:rsidRDefault="00D40771" w:rsidP="00D4077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0771">
        <w:rPr>
          <w:rFonts w:ascii="宋体" w:eastAsia="宋体" w:hAnsi="宋体" w:cs="宋体" w:hint="eastAsia"/>
          <w:kern w:val="0"/>
          <w:sz w:val="24"/>
          <w:szCs w:val="24"/>
        </w:rPr>
        <w:t>4、预期本周铜价下探，前期减仓可逢急跌大跌至46000以下小量买入轻仓持有。</w:t>
      </w:r>
      <w:r w:rsidRPr="00D40771">
        <w:rPr>
          <w:rFonts w:ascii="宋体" w:eastAsia="宋体" w:hAnsi="宋体" w:cs="宋体"/>
          <w:kern w:val="0"/>
          <w:sz w:val="24"/>
          <w:szCs w:val="24"/>
        </w:rPr>
        <w:br/>
      </w:r>
    </w:p>
    <w:p w:rsidR="00D40771" w:rsidRPr="00D40771" w:rsidRDefault="00D40771" w:rsidP="00435239">
      <w:pPr>
        <w:widowControl/>
        <w:spacing w:afterLines="50" w:line="319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proofErr w:type="gramStart"/>
      <w:r w:rsidRPr="0043523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highlight w:val="green"/>
        </w:rPr>
        <w:t>橡</w:t>
      </w:r>
      <w:proofErr w:type="gramEnd"/>
      <w:r w:rsidRPr="0043523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highlight w:val="green"/>
        </w:rPr>
        <w:t xml:space="preserve"> 胶</w:t>
      </w:r>
    </w:p>
    <w:p w:rsidR="00D40771" w:rsidRPr="00D40771" w:rsidRDefault="00D40771" w:rsidP="00D40771">
      <w:pPr>
        <w:widowControl/>
        <w:spacing w:line="360" w:lineRule="auto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40771">
        <w:rPr>
          <w:rFonts w:ascii="宋体" w:eastAsia="宋体" w:hAnsi="宋体" w:cs="宋体" w:hint="eastAsia"/>
          <w:kern w:val="0"/>
          <w:sz w:val="24"/>
          <w:szCs w:val="24"/>
        </w:rPr>
        <w:t>上周橡胶低位区间震荡为主，基本面看，国内外产区天气良好生产正常，09合约面临巨大交割压力，加之国内国库维持中高位，整体供应宽松，需求方面，观望情绪浓厚，</w:t>
      </w:r>
      <w:proofErr w:type="gramStart"/>
      <w:r w:rsidRPr="00D40771">
        <w:rPr>
          <w:rFonts w:ascii="宋体" w:eastAsia="宋体" w:hAnsi="宋体" w:cs="宋体" w:hint="eastAsia"/>
          <w:kern w:val="0"/>
          <w:sz w:val="24"/>
          <w:szCs w:val="24"/>
        </w:rPr>
        <w:t>买采意向</w:t>
      </w:r>
      <w:proofErr w:type="gramEnd"/>
      <w:r w:rsidRPr="00D40771">
        <w:rPr>
          <w:rFonts w:ascii="宋体" w:eastAsia="宋体" w:hAnsi="宋体" w:cs="宋体" w:hint="eastAsia"/>
          <w:kern w:val="0"/>
          <w:sz w:val="24"/>
          <w:szCs w:val="24"/>
        </w:rPr>
        <w:t>不够强烈，整体延续</w:t>
      </w:r>
      <w:proofErr w:type="gramStart"/>
      <w:r w:rsidRPr="00D40771">
        <w:rPr>
          <w:rFonts w:ascii="宋体" w:eastAsia="宋体" w:hAnsi="宋体" w:cs="宋体" w:hint="eastAsia"/>
          <w:kern w:val="0"/>
          <w:sz w:val="24"/>
          <w:szCs w:val="24"/>
        </w:rPr>
        <w:t>供强需弱</w:t>
      </w:r>
      <w:proofErr w:type="gramEnd"/>
      <w:r w:rsidRPr="00D40771">
        <w:rPr>
          <w:rFonts w:ascii="宋体" w:eastAsia="宋体" w:hAnsi="宋体" w:cs="宋体" w:hint="eastAsia"/>
          <w:kern w:val="0"/>
          <w:sz w:val="24"/>
          <w:szCs w:val="24"/>
        </w:rPr>
        <w:t>格局，对行情缺乏趋势性支撑，盘面表现主要以资金或情绪化影响为主，橡胶指数10500附近是底部区域，操作策略以逢低试多为主，暂不具备趋势性行情。</w:t>
      </w:r>
    </w:p>
    <w:p w:rsidR="00D40771" w:rsidRPr="00D40771" w:rsidRDefault="00D40771" w:rsidP="00D40771">
      <w:pPr>
        <w:widowControl/>
        <w:spacing w:line="319" w:lineRule="atLeast"/>
        <w:ind w:left="188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40771" w:rsidRDefault="00D40771" w:rsidP="00D40771">
      <w:pPr>
        <w:widowControl/>
        <w:spacing w:line="319" w:lineRule="atLeast"/>
        <w:ind w:left="188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40771" w:rsidRDefault="00D40771" w:rsidP="00D40771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40771" w:rsidRPr="00D40771" w:rsidRDefault="00D40771" w:rsidP="00D40771">
      <w:pPr>
        <w:widowControl/>
        <w:spacing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435239"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magenta"/>
        </w:rPr>
        <w:t>甲 醇</w:t>
      </w:r>
    </w:p>
    <w:p w:rsidR="00D40771" w:rsidRPr="00D40771" w:rsidRDefault="00D40771" w:rsidP="00D40771">
      <w:pPr>
        <w:widowControl/>
        <w:spacing w:line="360" w:lineRule="auto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40771">
        <w:rPr>
          <w:rFonts w:ascii="宋体" w:eastAsia="宋体" w:hAnsi="宋体" w:cs="宋体" w:hint="eastAsia"/>
          <w:b/>
          <w:bCs/>
          <w:color w:val="333333"/>
          <w:kern w:val="0"/>
        </w:rPr>
        <w:t>低估值，高库存，弱需求，甲醇上涨乏力</w:t>
      </w:r>
    </w:p>
    <w:p w:rsidR="00D40771" w:rsidRPr="00D40771" w:rsidRDefault="00D40771" w:rsidP="00D40771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</w:rPr>
      </w:pPr>
      <w:r w:rsidRPr="00D40771">
        <w:rPr>
          <w:rFonts w:ascii="宋体" w:eastAsia="宋体" w:hAnsi="宋体" w:cs="宋体" w:hint="eastAsia"/>
          <w:b/>
          <w:bCs/>
          <w:kern w:val="0"/>
        </w:rPr>
        <w:t>（震荡）</w:t>
      </w:r>
    </w:p>
    <w:p w:rsidR="00D40771" w:rsidRPr="00D40771" w:rsidRDefault="00D40771" w:rsidP="00D40771">
      <w:pPr>
        <w:widowControl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40771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1.上周甲醇价格继续震荡下行。</w:t>
      </w:r>
    </w:p>
    <w:p w:rsidR="00D40771" w:rsidRPr="00D40771" w:rsidRDefault="00D40771" w:rsidP="00D40771">
      <w:pPr>
        <w:widowControl/>
        <w:spacing w:line="36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 </w:t>
      </w: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2.甲醇上游成本亏损开工不足，下游利润较好，但</w:t>
      </w:r>
      <w:proofErr w:type="gramStart"/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开工仍</w:t>
      </w:r>
      <w:proofErr w:type="gramEnd"/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显疲软。</w:t>
      </w:r>
    </w:p>
    <w:p w:rsidR="00D40771" w:rsidRPr="00D40771" w:rsidRDefault="00D40771" w:rsidP="00D40771">
      <w:pPr>
        <w:widowControl/>
        <w:spacing w:line="36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3.港口库存和内地库存双双上升。</w:t>
      </w:r>
    </w:p>
    <w:p w:rsidR="00D40771" w:rsidRPr="00D40771" w:rsidRDefault="00D40771" w:rsidP="00D40771">
      <w:pPr>
        <w:widowControl/>
        <w:spacing w:line="36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4.</w:t>
      </w: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目前甲醇还缺少上涨的驱动，建议短线观望，长线逢低建仓，在价格在这段时间选择</w:t>
      </w:r>
      <w:r w:rsidRPr="00D4077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2001</w:t>
      </w: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合约</w:t>
      </w:r>
      <w:r w:rsidRPr="00D4077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2200</w:t>
      </w: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以下买入建仓。</w:t>
      </w:r>
    </w:p>
    <w:p w:rsidR="00D40771" w:rsidRPr="00D40771" w:rsidRDefault="00D40771" w:rsidP="00D40771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40771" w:rsidRPr="00D40771" w:rsidRDefault="00D40771" w:rsidP="00D40771">
      <w:pPr>
        <w:widowControl/>
        <w:spacing w:afterLines="5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0771">
        <w:rPr>
          <w:rFonts w:ascii="宋体" w:eastAsia="宋体" w:hAnsi="宋体" w:cs="宋体" w:hint="eastAsia"/>
          <w:kern w:val="0"/>
          <w:sz w:val="20"/>
          <w:szCs w:val="20"/>
        </w:rPr>
        <w:br/>
      </w:r>
      <w:r>
        <w:rPr>
          <w:rFonts w:ascii="宋体" w:eastAsia="宋体" w:hAnsi="宋体" w:cs="宋体" w:hint="eastAsia"/>
          <w:b/>
          <w:bCs/>
          <w:kern w:val="0"/>
          <w:sz w:val="23"/>
        </w:rPr>
        <w:t xml:space="preserve">                                </w:t>
      </w:r>
      <w:r w:rsidRPr="00D4077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</w:t>
      </w:r>
      <w:r w:rsidRPr="00435239"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cyan"/>
        </w:rPr>
        <w:t>白 糖</w:t>
      </w:r>
    </w:p>
    <w:p w:rsidR="00D40771" w:rsidRPr="00D40771" w:rsidRDefault="00D40771" w:rsidP="00D40771">
      <w:pPr>
        <w:widowControl/>
        <w:spacing w:afterLines="100" w:line="319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40771">
        <w:rPr>
          <w:rFonts w:ascii="宋体" w:eastAsia="宋体" w:hAnsi="宋体" w:cs="宋体" w:hint="eastAsia"/>
          <w:b/>
          <w:bCs/>
          <w:color w:val="000000"/>
          <w:kern w:val="0"/>
        </w:rPr>
        <w:t>进口量增长，</w:t>
      </w:r>
      <w:proofErr w:type="gramStart"/>
      <w:r w:rsidRPr="00D40771">
        <w:rPr>
          <w:rFonts w:ascii="宋体" w:eastAsia="宋体" w:hAnsi="宋体" w:cs="宋体" w:hint="eastAsia"/>
          <w:b/>
          <w:bCs/>
          <w:color w:val="000000"/>
          <w:kern w:val="0"/>
        </w:rPr>
        <w:t>郑糖上涨</w:t>
      </w:r>
      <w:proofErr w:type="gramEnd"/>
      <w:r w:rsidRPr="00D40771">
        <w:rPr>
          <w:rFonts w:ascii="宋体" w:eastAsia="宋体" w:hAnsi="宋体" w:cs="宋体" w:hint="eastAsia"/>
          <w:b/>
          <w:bCs/>
          <w:color w:val="000000"/>
          <w:kern w:val="0"/>
        </w:rPr>
        <w:t>动力减弱</w:t>
      </w:r>
    </w:p>
    <w:p w:rsidR="00D40771" w:rsidRPr="00D40771" w:rsidRDefault="00D40771" w:rsidP="00D40771">
      <w:pPr>
        <w:widowControl/>
        <w:spacing w:line="36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40771">
        <w:rPr>
          <w:rFonts w:ascii="宋体" w:eastAsia="宋体" w:hAnsi="宋体" w:cs="宋体"/>
          <w:color w:val="333333"/>
          <w:kern w:val="0"/>
          <w:sz w:val="24"/>
          <w:szCs w:val="24"/>
        </w:rPr>
        <w:t>1</w:t>
      </w: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Pr="00D40771">
        <w:rPr>
          <w:rFonts w:ascii="宋体" w:eastAsia="宋体" w:hAnsi="宋体" w:cs="宋体"/>
          <w:color w:val="333333"/>
          <w:kern w:val="0"/>
          <w:sz w:val="24"/>
          <w:szCs w:val="24"/>
        </w:rPr>
        <w:t>7</w:t>
      </w: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月份食糖进口量增长，符合市场预期，</w:t>
      </w:r>
      <w:proofErr w:type="gramStart"/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郑糖价格</w:t>
      </w:r>
      <w:proofErr w:type="gramEnd"/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也没有太大波动。然而短期内，现货良好的销售势头不会因进口量增长马上发生转变。尤其是期货近月合约将向现货价格靠拢。远月期货价格，受未来几个月进口加工食糖集中上市的影响较大，因而会逊色于近月。本周</w:t>
      </w:r>
      <w:proofErr w:type="gramStart"/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预计郑糖价格</w:t>
      </w:r>
      <w:proofErr w:type="gramEnd"/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保持高位震荡，近月强于远月。</w:t>
      </w:r>
    </w:p>
    <w:p w:rsidR="00D40771" w:rsidRPr="00D40771" w:rsidRDefault="00D40771" w:rsidP="00D40771">
      <w:pPr>
        <w:widowControl/>
        <w:spacing w:line="319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4077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Pr="00D407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尽管分析机构，一致做出</w:t>
      </w:r>
      <w:r w:rsidRPr="00D4077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2019/20</w:t>
      </w: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榨季供给短缺的预测，但从短缺数量来看，仅仅抵消了上一榨季的过剩量。而且连续两年增产积累下来的巨大库存量，始终压制着国际糖价。作为熊转牛的</w:t>
      </w:r>
      <w:r w:rsidRPr="00D4077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19/20</w:t>
      </w: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榨季，原糖恐怕难以直接展开大幅上涨。近期印度可能出台的补贴政策，几乎杜绝了原糖短期大幅上涨的可能性。本周预计原糖价格继续在</w:t>
      </w:r>
      <w:r w:rsidRPr="00D4077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</w:t>
      </w: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美分左右震荡。</w:t>
      </w:r>
    </w:p>
    <w:p w:rsidR="00D40771" w:rsidRDefault="00D40771" w:rsidP="00D407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0771" w:rsidRPr="00D40771" w:rsidRDefault="00D40771" w:rsidP="00D40771">
      <w:pPr>
        <w:widowControl/>
        <w:spacing w:afterLines="5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D40771">
        <w:rPr>
          <w:rFonts w:ascii="宋体" w:eastAsia="宋体" w:hAnsi="宋体" w:cs="宋体"/>
          <w:kern w:val="0"/>
          <w:sz w:val="24"/>
          <w:szCs w:val="24"/>
        </w:rPr>
        <w:br/>
      </w:r>
      <w:r w:rsidRPr="00435239"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玉米&amp;淀粉</w:t>
      </w:r>
    </w:p>
    <w:p w:rsidR="00D40771" w:rsidRPr="00D40771" w:rsidRDefault="00D40771" w:rsidP="00D40771">
      <w:pPr>
        <w:widowControl/>
        <w:spacing w:afterLines="5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40771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需求</w:t>
      </w:r>
      <w:proofErr w:type="gramStart"/>
      <w:r w:rsidRPr="00D40771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端未来</w:t>
      </w:r>
      <w:proofErr w:type="gramEnd"/>
      <w:r w:rsidRPr="00D40771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有望触底反弹，价格短期获得支撑</w:t>
      </w:r>
    </w:p>
    <w:p w:rsidR="00D40771" w:rsidRPr="00D40771" w:rsidRDefault="00D40771" w:rsidP="00D40771">
      <w:pPr>
        <w:widowControl/>
        <w:spacing w:line="360" w:lineRule="auto"/>
        <w:ind w:firstLine="501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1．贸易政策出现新变化，进口预期降低，短期利多玉米价格。</w:t>
      </w:r>
    </w:p>
    <w:p w:rsidR="00D40771" w:rsidRPr="00D40771" w:rsidRDefault="00D40771" w:rsidP="00D40771">
      <w:pPr>
        <w:widowControl/>
        <w:shd w:val="clear" w:color="auto" w:fill="FFFFFF"/>
        <w:spacing w:line="360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2.主产区天气利于农作物生长，新季玉米陆续</w:t>
      </w:r>
      <w:proofErr w:type="gramStart"/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上市卖</w:t>
      </w:r>
      <w:proofErr w:type="gramEnd"/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压较重。</w:t>
      </w:r>
      <w:r w:rsidRPr="00D40771">
        <w:rPr>
          <w:rFonts w:ascii="宋体" w:eastAsia="宋体" w:hAnsi="宋体" w:cs="宋体"/>
          <w:color w:val="333333"/>
          <w:kern w:val="0"/>
          <w:sz w:val="24"/>
          <w:szCs w:val="24"/>
        </w:rPr>
        <w:t>400</w:t>
      </w: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万吨抛储继续，本周成交继续低迷，价格小幅下调。</w:t>
      </w:r>
    </w:p>
    <w:p w:rsidR="00D40771" w:rsidRPr="00D40771" w:rsidRDefault="00D40771" w:rsidP="00D40771">
      <w:pPr>
        <w:widowControl/>
        <w:spacing w:line="360" w:lineRule="auto"/>
        <w:ind w:firstLine="501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3.生猪存栏环比下降，猪肉价格上涨养殖利润增加，国家出台养殖行业政策，饲料需求稍有好转。</w:t>
      </w:r>
    </w:p>
    <w:p w:rsidR="00D40771" w:rsidRPr="00D40771" w:rsidRDefault="00D40771" w:rsidP="00D40771">
      <w:pPr>
        <w:widowControl/>
        <w:spacing w:line="360" w:lineRule="auto"/>
        <w:ind w:firstLine="501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4.玉米和淀粉价格与上周持平</w:t>
      </w:r>
    </w:p>
    <w:p w:rsidR="00D40771" w:rsidRPr="00D40771" w:rsidRDefault="00D40771" w:rsidP="00D40771">
      <w:pPr>
        <w:widowControl/>
        <w:spacing w:line="360" w:lineRule="auto"/>
        <w:ind w:firstLine="501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5.深加工开机率下降，淀粉库存小幅减少。</w:t>
      </w:r>
    </w:p>
    <w:p w:rsidR="00D40771" w:rsidRPr="00D40771" w:rsidRDefault="00D40771" w:rsidP="00D40771">
      <w:pPr>
        <w:widowControl/>
        <w:spacing w:line="360" w:lineRule="auto"/>
        <w:ind w:firstLine="501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综上，贸易战仍是不确定因素，但影响弱了很多，主产区天气台风影响较小，近段时间利于农作物生长，秋收卖</w:t>
      </w:r>
      <w:proofErr w:type="gramStart"/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压逐步</w:t>
      </w:r>
      <w:proofErr w:type="gramEnd"/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呈现，抛储低迷也预示价格暂时难以有所起色，未来关注新作上市情况和开秤价格，猪肉价格飙升引发国家出台政策稳定生猪养殖行业需求</w:t>
      </w:r>
      <w:proofErr w:type="gramStart"/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端未来</w:t>
      </w:r>
      <w:proofErr w:type="gramEnd"/>
      <w:r w:rsidRPr="00D407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或有好转，操作上1901合约可逐步进场做多，玉米淀粉9月价差前期获利可平仓逐步向1月价差转移。</w:t>
      </w:r>
    </w:p>
    <w:p w:rsidR="00D40771" w:rsidRPr="00D40771" w:rsidRDefault="00D40771" w:rsidP="00D40771">
      <w:pPr>
        <w:widowControl/>
        <w:spacing w:line="319" w:lineRule="atLeast"/>
        <w:ind w:firstLine="50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40771" w:rsidRPr="00D40771" w:rsidRDefault="00D40771" w:rsidP="00D40771">
      <w:pPr>
        <w:widowControl/>
        <w:spacing w:line="319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40771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免责声明：本研究报告由金</w:t>
      </w:r>
      <w:proofErr w:type="gramStart"/>
      <w:r w:rsidRPr="00D40771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鹏经济</w:t>
      </w:r>
      <w:proofErr w:type="gramEnd"/>
      <w:r w:rsidRPr="00D40771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D40771" w:rsidRPr="00D40771" w:rsidRDefault="00D40771" w:rsidP="00D407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0771">
        <w:rPr>
          <w:rFonts w:ascii="宋体" w:eastAsia="宋体" w:hAnsi="宋体" w:cs="宋体" w:hint="eastAsia"/>
          <w:b/>
          <w:bCs/>
          <w:kern w:val="0"/>
          <w:sz w:val="23"/>
          <w:szCs w:val="23"/>
          <w:shd w:val="clear" w:color="auto" w:fill="73FA79"/>
        </w:rPr>
        <w:br/>
      </w:r>
      <w:r w:rsidRPr="00D40771">
        <w:rPr>
          <w:rFonts w:ascii="宋体" w:eastAsia="宋体" w:hAnsi="宋体" w:cs="宋体"/>
          <w:kern w:val="0"/>
          <w:sz w:val="24"/>
          <w:szCs w:val="24"/>
        </w:rPr>
        <w:br/>
      </w:r>
    </w:p>
    <w:p w:rsidR="00D40771" w:rsidRPr="00D40771" w:rsidRDefault="00D40771" w:rsidP="00D40771">
      <w:pPr>
        <w:widowControl/>
        <w:spacing w:line="319" w:lineRule="atLeast"/>
        <w:ind w:left="188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D40771" w:rsidRPr="00D40771" w:rsidRDefault="00D40771" w:rsidP="00D40771">
      <w:pPr>
        <w:widowControl/>
        <w:spacing w:line="319" w:lineRule="atLeast"/>
        <w:ind w:left="188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40771" w:rsidRPr="00D40771" w:rsidRDefault="00D40771" w:rsidP="00D40771">
      <w:pPr>
        <w:widowControl/>
        <w:spacing w:line="319" w:lineRule="atLeast"/>
        <w:ind w:left="188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40771" w:rsidRPr="00D40771" w:rsidRDefault="00D40771" w:rsidP="00D40771">
      <w:pPr>
        <w:widowControl/>
        <w:spacing w:line="319" w:lineRule="atLeast"/>
        <w:ind w:left="188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40771" w:rsidRPr="00D40771" w:rsidRDefault="00D40771" w:rsidP="00D40771">
      <w:pPr>
        <w:widowControl/>
        <w:spacing w:line="319" w:lineRule="atLeast"/>
        <w:ind w:left="188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40771" w:rsidRPr="00D40771" w:rsidRDefault="00D40771" w:rsidP="00D40771">
      <w:pPr>
        <w:widowControl/>
        <w:spacing w:line="319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D42DC" w:rsidRPr="00D40771" w:rsidRDefault="001D42DC"/>
    <w:sectPr w:rsidR="001D42DC" w:rsidRPr="00D40771" w:rsidSect="001D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E5" w:rsidRDefault="003D6DE5" w:rsidP="00D40771">
      <w:r>
        <w:separator/>
      </w:r>
    </w:p>
  </w:endnote>
  <w:endnote w:type="continuationSeparator" w:id="0">
    <w:p w:rsidR="003D6DE5" w:rsidRDefault="003D6DE5" w:rsidP="00D40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E5" w:rsidRDefault="003D6DE5" w:rsidP="00D40771">
      <w:r>
        <w:separator/>
      </w:r>
    </w:p>
  </w:footnote>
  <w:footnote w:type="continuationSeparator" w:id="0">
    <w:p w:rsidR="003D6DE5" w:rsidRDefault="003D6DE5" w:rsidP="00D40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771"/>
    <w:rsid w:val="001D42DC"/>
    <w:rsid w:val="003D6DE5"/>
    <w:rsid w:val="00435239"/>
    <w:rsid w:val="00D4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7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771"/>
    <w:rPr>
      <w:sz w:val="18"/>
      <w:szCs w:val="18"/>
    </w:rPr>
  </w:style>
  <w:style w:type="character" w:styleId="a5">
    <w:name w:val="Strong"/>
    <w:basedOn w:val="a0"/>
    <w:uiPriority w:val="22"/>
    <w:qFormat/>
    <w:rsid w:val="00D40771"/>
    <w:rPr>
      <w:b/>
      <w:bCs/>
    </w:rPr>
  </w:style>
  <w:style w:type="paragraph" w:styleId="a6">
    <w:name w:val="Normal (Web)"/>
    <w:basedOn w:val="a"/>
    <w:uiPriority w:val="99"/>
    <w:semiHidden/>
    <w:unhideWhenUsed/>
    <w:rsid w:val="00D40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265</Words>
  <Characters>1513</Characters>
  <Application>Microsoft Office Word</Application>
  <DocSecurity>0</DocSecurity>
  <Lines>12</Lines>
  <Paragraphs>3</Paragraphs>
  <ScaleCrop>false</ScaleCrop>
  <Company>IT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dcterms:created xsi:type="dcterms:W3CDTF">2019-08-28T07:12:00Z</dcterms:created>
  <dcterms:modified xsi:type="dcterms:W3CDTF">2019-08-28T07:18:00Z</dcterms:modified>
</cp:coreProperties>
</file>