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A95" w:rsidRPr="00BA5A95" w:rsidRDefault="00BA5A95" w:rsidP="00BA5A95">
      <w:pPr>
        <w:widowControl/>
        <w:ind w:firstLineChars="850" w:firstLine="2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5A95">
        <w:rPr>
          <w:rFonts w:ascii="宋体" w:eastAsia="宋体" w:hAnsi="宋体" w:cs="宋体"/>
          <w:b/>
          <w:bCs/>
          <w:color w:val="FF4C00"/>
          <w:kern w:val="0"/>
          <w:sz w:val="30"/>
        </w:rPr>
        <w:t>商品期货套利机会跟踪</w:t>
      </w:r>
    </w:p>
    <w:p w:rsidR="00BA5A95" w:rsidRPr="00BA5A95" w:rsidRDefault="00BA5A95" w:rsidP="00BA5A95">
      <w:pPr>
        <w:widowControl/>
        <w:jc w:val="center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26"/>
          <w:szCs w:val="26"/>
        </w:rPr>
        <w:drawing>
          <wp:inline distT="0" distB="0" distL="0" distR="0">
            <wp:extent cx="4352925" cy="3076575"/>
            <wp:effectExtent l="19050" t="0" r="9525" b="0"/>
            <wp:docPr id="1" name="图片 1" descr="https://mmbiz.qpic.cn/mmbiz_jpg/LBX4T1S9UVGc4gia8I3qrGx4YvkGz2DdGDJPus4R8h6NPI8UpUmicC6iaiadxb3430bEicM6I8ZlIgZua7icQG6gDryg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jpg/LBX4T1S9UVGc4gia8I3qrGx4YvkGz2DdGDJPus4R8h6NPI8UpUmicC6iaiadxb3430bEicM6I8ZlIgZua7icQG6gDryg/640?wx_fmt=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5A95">
        <w:rPr>
          <w:rFonts w:ascii="MS Gothic" w:eastAsia="MS Gothic" w:hAnsi="MS Gothic" w:cs="MS Gothic" w:hint="eastAsia"/>
          <w:color w:val="333333"/>
          <w:kern w:val="0"/>
          <w:sz w:val="26"/>
          <w:szCs w:val="26"/>
        </w:rPr>
        <w:t>​</w:t>
      </w:r>
    </w:p>
    <w:p w:rsidR="00BA5A95" w:rsidRPr="00BA5A95" w:rsidRDefault="00BA5A95" w:rsidP="00BA5A95">
      <w:pPr>
        <w:widowControl/>
        <w:ind w:firstLineChars="1200" w:firstLine="3253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A5A95">
        <w:rPr>
          <w:rFonts w:ascii="宋体" w:eastAsia="宋体" w:hAnsi="宋体" w:cs="宋体"/>
          <w:b/>
          <w:bCs/>
          <w:kern w:val="0"/>
          <w:sz w:val="27"/>
        </w:rPr>
        <w:t>白糖跨期套利</w:t>
      </w:r>
      <w:r w:rsidRPr="00BA5A95">
        <w:rPr>
          <w:rFonts w:ascii="宋体" w:eastAsia="宋体" w:hAnsi="宋体" w:cs="宋体"/>
          <w:kern w:val="0"/>
          <w:sz w:val="24"/>
          <w:szCs w:val="24"/>
        </w:rPr>
        <w:br/>
      </w:r>
      <w:r w:rsidRPr="00BA5A95">
        <w:rPr>
          <w:rFonts w:ascii="宋体" w:eastAsia="宋体" w:hAnsi="宋体" w:cs="宋体" w:hint="eastAsia"/>
          <w:kern w:val="0"/>
          <w:sz w:val="24"/>
          <w:szCs w:val="24"/>
        </w:rPr>
        <w:t>    </w:t>
      </w:r>
      <w:r w:rsidRPr="00BA5A95">
        <w:rPr>
          <w:rFonts w:ascii="宋体" w:eastAsia="宋体" w:hAnsi="宋体" w:cs="宋体" w:hint="eastAsia"/>
          <w:kern w:val="0"/>
          <w:sz w:val="26"/>
          <w:szCs w:val="26"/>
        </w:rPr>
        <w:t>白糖单边行情本周波动相对较小，</w:t>
      </w:r>
      <w:proofErr w:type="gramStart"/>
      <w:r w:rsidRPr="00BA5A95">
        <w:rPr>
          <w:rFonts w:ascii="宋体" w:eastAsia="宋体" w:hAnsi="宋体" w:cs="宋体"/>
          <w:kern w:val="0"/>
          <w:sz w:val="26"/>
          <w:szCs w:val="26"/>
        </w:rPr>
        <w:t>15</w:t>
      </w:r>
      <w:proofErr w:type="gramEnd"/>
      <w:r w:rsidRPr="00BA5A95">
        <w:rPr>
          <w:rFonts w:ascii="宋体" w:eastAsia="宋体" w:hAnsi="宋体" w:cs="宋体" w:hint="eastAsia"/>
          <w:kern w:val="0"/>
          <w:sz w:val="26"/>
          <w:szCs w:val="26"/>
        </w:rPr>
        <w:t>月价差趋于走稳，价差经历了一波反弹后再次回到</w:t>
      </w:r>
      <w:r w:rsidRPr="00BA5A95">
        <w:rPr>
          <w:rFonts w:ascii="宋体" w:eastAsia="宋体" w:hAnsi="宋体" w:cs="宋体"/>
          <w:kern w:val="0"/>
          <w:sz w:val="26"/>
          <w:szCs w:val="26"/>
        </w:rPr>
        <w:t>80-90</w:t>
      </w:r>
      <w:r w:rsidRPr="00BA5A95">
        <w:rPr>
          <w:rFonts w:ascii="宋体" w:eastAsia="宋体" w:hAnsi="宋体" w:cs="宋体" w:hint="eastAsia"/>
          <w:kern w:val="0"/>
          <w:sz w:val="26"/>
          <w:szCs w:val="26"/>
        </w:rPr>
        <w:t>区间，中长线操作的等待回调后少量进场，短线可根据盘中情况买进，盈利和止</w:t>
      </w:r>
      <w:proofErr w:type="gramStart"/>
      <w:r w:rsidRPr="00BA5A95">
        <w:rPr>
          <w:rFonts w:ascii="宋体" w:eastAsia="宋体" w:hAnsi="宋体" w:cs="宋体" w:hint="eastAsia"/>
          <w:kern w:val="0"/>
          <w:sz w:val="26"/>
          <w:szCs w:val="26"/>
        </w:rPr>
        <w:t>损控制</w:t>
      </w:r>
      <w:proofErr w:type="gramEnd"/>
      <w:r w:rsidRPr="00BA5A95">
        <w:rPr>
          <w:rFonts w:ascii="宋体" w:eastAsia="宋体" w:hAnsi="宋体" w:cs="宋体" w:hint="eastAsia"/>
          <w:kern w:val="0"/>
          <w:sz w:val="26"/>
          <w:szCs w:val="26"/>
        </w:rPr>
        <w:t>在</w:t>
      </w:r>
      <w:r w:rsidRPr="00BA5A95">
        <w:rPr>
          <w:rFonts w:ascii="宋体" w:eastAsia="宋体" w:hAnsi="宋体" w:cs="宋体"/>
          <w:kern w:val="0"/>
          <w:sz w:val="26"/>
          <w:szCs w:val="26"/>
        </w:rPr>
        <w:t>10</w:t>
      </w:r>
      <w:r w:rsidRPr="00BA5A95">
        <w:rPr>
          <w:rFonts w:ascii="宋体" w:eastAsia="宋体" w:hAnsi="宋体" w:cs="宋体" w:hint="eastAsia"/>
          <w:kern w:val="0"/>
          <w:sz w:val="26"/>
          <w:szCs w:val="26"/>
        </w:rPr>
        <w:t>点到</w:t>
      </w:r>
      <w:r w:rsidRPr="00BA5A95">
        <w:rPr>
          <w:rFonts w:ascii="宋体" w:eastAsia="宋体" w:hAnsi="宋体" w:cs="宋体"/>
          <w:kern w:val="0"/>
          <w:sz w:val="26"/>
          <w:szCs w:val="26"/>
        </w:rPr>
        <w:t>20</w:t>
      </w:r>
      <w:r w:rsidRPr="00BA5A95">
        <w:rPr>
          <w:rFonts w:ascii="宋体" w:eastAsia="宋体" w:hAnsi="宋体" w:cs="宋体" w:hint="eastAsia"/>
          <w:kern w:val="0"/>
          <w:sz w:val="26"/>
          <w:szCs w:val="26"/>
        </w:rPr>
        <w:t>点。</w:t>
      </w:r>
      <w:r w:rsidRPr="00BA5A95">
        <w:rPr>
          <w:rFonts w:ascii="宋体" w:eastAsia="宋体" w:hAnsi="宋体" w:cs="宋体" w:hint="eastAsia"/>
          <w:kern w:val="0"/>
          <w:sz w:val="24"/>
          <w:szCs w:val="24"/>
        </w:rPr>
        <w:br/>
      </w:r>
    </w:p>
    <w:p w:rsidR="00BA5A95" w:rsidRPr="00BA5A95" w:rsidRDefault="00BA5A95" w:rsidP="00BA5A95">
      <w:pPr>
        <w:widowControl/>
        <w:spacing w:line="383" w:lineRule="atLeast"/>
        <w:jc w:val="center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 w:rsidRPr="00BA5A95">
        <w:rPr>
          <w:rFonts w:ascii="宋体" w:eastAsia="宋体" w:hAnsi="宋体" w:cs="宋体" w:hint="eastAsia"/>
          <w:b/>
          <w:bCs/>
          <w:color w:val="333333"/>
          <w:kern w:val="0"/>
          <w:sz w:val="27"/>
        </w:rPr>
        <w:t>棉花跨期套利</w:t>
      </w:r>
    </w:p>
    <w:p w:rsidR="00BA5A95" w:rsidRPr="00BA5A95" w:rsidRDefault="00BA5A95" w:rsidP="00BA5A95">
      <w:pPr>
        <w:widowControl/>
        <w:spacing w:line="383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A5A95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棉花价差波动不大，本周小幅下探，</w:t>
      </w:r>
      <w:proofErr w:type="gramStart"/>
      <w:r w:rsidRPr="00BA5A95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15</w:t>
      </w:r>
      <w:proofErr w:type="gramEnd"/>
      <w:r w:rsidRPr="00BA5A95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月价差可临近</w:t>
      </w:r>
      <w:r w:rsidRPr="00BA5A95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-500</w:t>
      </w:r>
      <w:r w:rsidRPr="00BA5A95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位置</w:t>
      </w:r>
      <w:proofErr w:type="gramStart"/>
      <w:r w:rsidRPr="00BA5A95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逐渐买</w:t>
      </w:r>
      <w:proofErr w:type="gramEnd"/>
      <w:r w:rsidRPr="00BA5A95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开进场，盈利短期应该也不会有大行情，</w:t>
      </w:r>
      <w:r w:rsidRPr="00BA5A95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50</w:t>
      </w:r>
      <w:r w:rsidRPr="00BA5A95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点到</w:t>
      </w:r>
      <w:r w:rsidRPr="00BA5A95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100</w:t>
      </w:r>
      <w:r w:rsidRPr="00BA5A95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点可逐渐获利了结。</w:t>
      </w:r>
    </w:p>
    <w:p w:rsidR="00BA5A95" w:rsidRPr="00BA5A95" w:rsidRDefault="00BA5A95" w:rsidP="00BA5A9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A5A95">
        <w:rPr>
          <w:rFonts w:ascii="宋体" w:eastAsia="宋体" w:hAnsi="宋体" w:cs="宋体" w:hint="eastAsia"/>
          <w:b/>
          <w:bCs/>
          <w:kern w:val="0"/>
          <w:sz w:val="27"/>
          <w:szCs w:val="27"/>
          <w:shd w:val="clear" w:color="auto" w:fill="FFDA51"/>
        </w:rPr>
        <w:br/>
      </w:r>
      <w:r>
        <w:rPr>
          <w:rFonts w:ascii="宋体" w:eastAsia="宋体" w:hAnsi="宋体" w:cs="宋体" w:hint="eastAsia"/>
          <w:b/>
          <w:bCs/>
          <w:kern w:val="0"/>
          <w:sz w:val="27"/>
        </w:rPr>
        <w:t xml:space="preserve">                </w:t>
      </w:r>
      <w:r w:rsidRPr="00BA5A95">
        <w:rPr>
          <w:rFonts w:ascii="宋体" w:eastAsia="宋体" w:hAnsi="宋体" w:cs="宋体" w:hint="eastAsia"/>
          <w:b/>
          <w:bCs/>
          <w:kern w:val="0"/>
          <w:sz w:val="27"/>
        </w:rPr>
        <w:t>玉米跨期套利</w:t>
      </w:r>
    </w:p>
    <w:p w:rsidR="00BA5A95" w:rsidRPr="00BA5A95" w:rsidRDefault="00BA5A95" w:rsidP="00BA5A95">
      <w:pPr>
        <w:widowControl/>
        <w:spacing w:line="383" w:lineRule="atLeast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 w:rsidRPr="00BA5A9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  </w:t>
      </w:r>
      <w:r w:rsidRPr="00BA5A95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  </w:t>
      </w:r>
      <w:r w:rsidRPr="00BA5A95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玉米近期走势维持弱势，</w:t>
      </w:r>
      <w:proofErr w:type="gramStart"/>
      <w:r w:rsidRPr="00BA5A95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15</w:t>
      </w:r>
      <w:proofErr w:type="gramEnd"/>
      <w:r w:rsidRPr="00BA5A95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月价差波动相对较小，盘中波动区间在</w:t>
      </w:r>
      <w:r w:rsidRPr="00BA5A95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5-6</w:t>
      </w:r>
      <w:r w:rsidRPr="00BA5A95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个点，操作上仍维持买开策略，价差</w:t>
      </w:r>
      <w:r w:rsidRPr="00BA5A95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-65</w:t>
      </w:r>
      <w:r w:rsidRPr="00BA5A95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以下</w:t>
      </w:r>
      <w:proofErr w:type="gramStart"/>
      <w:r w:rsidRPr="00BA5A95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逐渐买</w:t>
      </w:r>
      <w:proofErr w:type="gramEnd"/>
      <w:r w:rsidRPr="00BA5A95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开进场，盈利范围控制在</w:t>
      </w:r>
      <w:r w:rsidRPr="00BA5A95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5</w:t>
      </w:r>
      <w:r w:rsidRPr="00BA5A95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到</w:t>
      </w:r>
      <w:r w:rsidRPr="00BA5A95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10</w:t>
      </w:r>
      <w:r w:rsidRPr="00BA5A95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个点，可以留部分持仓去博取更大收益。</w:t>
      </w:r>
    </w:p>
    <w:p w:rsidR="00BA5A95" w:rsidRPr="00BA5A95" w:rsidRDefault="00BA5A95" w:rsidP="00BA5A95">
      <w:pPr>
        <w:widowControl/>
        <w:spacing w:line="383" w:lineRule="atLeas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</w:p>
    <w:p w:rsidR="00BA5A95" w:rsidRPr="00BA5A95" w:rsidRDefault="00BA5A95" w:rsidP="00BA5A95">
      <w:pPr>
        <w:widowControl/>
        <w:ind w:firstLineChars="900" w:firstLine="2439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A5A95">
        <w:rPr>
          <w:rFonts w:ascii="宋体" w:eastAsia="宋体" w:hAnsi="宋体" w:cs="宋体" w:hint="eastAsia"/>
          <w:b/>
          <w:bCs/>
          <w:kern w:val="0"/>
          <w:sz w:val="27"/>
        </w:rPr>
        <w:t>豆油&amp;棕榈油</w:t>
      </w:r>
      <w:proofErr w:type="gramStart"/>
      <w:r w:rsidRPr="00BA5A95">
        <w:rPr>
          <w:rFonts w:ascii="宋体" w:eastAsia="宋体" w:hAnsi="宋体" w:cs="宋体" w:hint="eastAsia"/>
          <w:b/>
          <w:bCs/>
          <w:kern w:val="0"/>
          <w:sz w:val="27"/>
        </w:rPr>
        <w:t>跨品种</w:t>
      </w:r>
      <w:proofErr w:type="gramEnd"/>
      <w:r w:rsidRPr="00BA5A95">
        <w:rPr>
          <w:rFonts w:ascii="宋体" w:eastAsia="宋体" w:hAnsi="宋体" w:cs="宋体" w:hint="eastAsia"/>
          <w:b/>
          <w:bCs/>
          <w:kern w:val="0"/>
          <w:sz w:val="27"/>
        </w:rPr>
        <w:t>套利</w:t>
      </w:r>
    </w:p>
    <w:p w:rsidR="00BA5A95" w:rsidRPr="00BA5A95" w:rsidRDefault="00BA5A95" w:rsidP="00BA5A95">
      <w:pPr>
        <w:widowControl/>
        <w:spacing w:line="383" w:lineRule="atLeast"/>
        <w:ind w:firstLine="480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 w:rsidRPr="00BA5A95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豆棕</w:t>
      </w:r>
      <w:r w:rsidRPr="00BA5A95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1</w:t>
      </w:r>
      <w:r w:rsidRPr="00BA5A95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月价差上周收于</w:t>
      </w:r>
      <w:r w:rsidRPr="00BA5A95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1282</w:t>
      </w:r>
      <w:r w:rsidRPr="00BA5A95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，短期内由于高价差导致的替代性消费致使棕榈油略强于豆油，价差小幅回落。后市操作逢高放空为主要方向，当前我们建议观望为主，激进投资者可考虑在前高附近轻仓尝试，</w:t>
      </w:r>
      <w:r w:rsidRPr="00BA5A95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1500</w:t>
      </w:r>
      <w:proofErr w:type="gramStart"/>
      <w:r w:rsidRPr="00BA5A95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以上止</w:t>
      </w:r>
      <w:proofErr w:type="gramEnd"/>
      <w:r w:rsidRPr="00BA5A95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损。</w:t>
      </w:r>
      <w:proofErr w:type="gramStart"/>
      <w:r w:rsidRPr="00BA5A95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主仓</w:t>
      </w:r>
      <w:proofErr w:type="gramEnd"/>
      <w:r w:rsidRPr="00BA5A95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留待</w:t>
      </w:r>
      <w:proofErr w:type="gramStart"/>
      <w:r w:rsidRPr="00BA5A95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待</w:t>
      </w:r>
      <w:proofErr w:type="gramEnd"/>
      <w:r w:rsidRPr="00BA5A95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贸易问题出现变化以及</w:t>
      </w:r>
      <w:proofErr w:type="gramStart"/>
      <w:r w:rsidRPr="00BA5A95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九月份美豆产量</w:t>
      </w:r>
      <w:proofErr w:type="gramEnd"/>
      <w:r w:rsidRPr="00BA5A95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逐步确定后再进行操作。</w:t>
      </w:r>
    </w:p>
    <w:p w:rsidR="00BA5A95" w:rsidRPr="00BA5A95" w:rsidRDefault="00BA5A95" w:rsidP="00BA5A95">
      <w:pPr>
        <w:widowControl/>
        <w:spacing w:line="383" w:lineRule="atLeas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</w:p>
    <w:p w:rsidR="00BA5A95" w:rsidRDefault="00BA5A95" w:rsidP="00BA5A95">
      <w:pPr>
        <w:widowControl/>
        <w:spacing w:line="383" w:lineRule="atLeas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A5A95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免责声明：本研究报告由金</w:t>
      </w:r>
      <w:proofErr w:type="gramStart"/>
      <w:r w:rsidRPr="00BA5A95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鹏经济</w:t>
      </w:r>
      <w:proofErr w:type="gramEnd"/>
      <w:r w:rsidRPr="00BA5A95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C36994" w:rsidRPr="00BA5A95" w:rsidRDefault="00C36994" w:rsidP="00BA5A95">
      <w:pPr>
        <w:widowControl/>
        <w:spacing w:line="383" w:lineRule="atLeas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</w:p>
    <w:p w:rsidR="00BA5A95" w:rsidRPr="00BA5A95" w:rsidRDefault="00BA5A95" w:rsidP="00BA5A95">
      <w:pPr>
        <w:widowControl/>
        <w:jc w:val="center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26"/>
          <w:szCs w:val="26"/>
        </w:rPr>
        <w:drawing>
          <wp:inline distT="0" distB="0" distL="0" distR="0">
            <wp:extent cx="4886325" cy="3190875"/>
            <wp:effectExtent l="19050" t="0" r="9525" b="0"/>
            <wp:docPr id="2" name="图片 2" descr="https://mmbiz.qpic.cn/mmbiz_png/LBX4T1S9UVGc4gia8I3qrGx4YvkGz2DdGAUeAD0yogdqaw8oDibxCJLVfNM26oGKg1HHyROKr5bDuKgpXEdMbQ3Q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png/LBX4T1S9UVGc4gia8I3qrGx4YvkGz2DdGAUeAD0yogdqaw8oDibxCJLVfNM26oGKg1HHyROKr5bDuKgpXEdMbQ3Q/640?wx_fmt=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C33" w:rsidRDefault="004E4C33"/>
    <w:sectPr w:rsidR="004E4C33" w:rsidSect="004E4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CB6" w:rsidRDefault="00103CB6" w:rsidP="00BA5A95">
      <w:r>
        <w:separator/>
      </w:r>
    </w:p>
  </w:endnote>
  <w:endnote w:type="continuationSeparator" w:id="0">
    <w:p w:rsidR="00103CB6" w:rsidRDefault="00103CB6" w:rsidP="00BA5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CB6" w:rsidRDefault="00103CB6" w:rsidP="00BA5A95">
      <w:r>
        <w:separator/>
      </w:r>
    </w:p>
  </w:footnote>
  <w:footnote w:type="continuationSeparator" w:id="0">
    <w:p w:rsidR="00103CB6" w:rsidRDefault="00103CB6" w:rsidP="00BA5A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5A95"/>
    <w:rsid w:val="00103CB6"/>
    <w:rsid w:val="004E4C33"/>
    <w:rsid w:val="00BA5A95"/>
    <w:rsid w:val="00C3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C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5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5A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5A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5A95"/>
    <w:rPr>
      <w:sz w:val="18"/>
      <w:szCs w:val="18"/>
    </w:rPr>
  </w:style>
  <w:style w:type="character" w:styleId="a5">
    <w:name w:val="Strong"/>
    <w:basedOn w:val="a0"/>
    <w:uiPriority w:val="22"/>
    <w:qFormat/>
    <w:rsid w:val="00BA5A95"/>
    <w:rPr>
      <w:b/>
      <w:bCs/>
    </w:rPr>
  </w:style>
  <w:style w:type="paragraph" w:styleId="a6">
    <w:name w:val="Normal (Web)"/>
    <w:basedOn w:val="a"/>
    <w:uiPriority w:val="99"/>
    <w:semiHidden/>
    <w:unhideWhenUsed/>
    <w:rsid w:val="00BA5A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A5A9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A5A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539</Characters>
  <Application>Microsoft Office Word</Application>
  <DocSecurity>0</DocSecurity>
  <Lines>4</Lines>
  <Paragraphs>1</Paragraphs>
  <ScaleCrop>false</ScaleCrop>
  <Company>IT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3</cp:revision>
  <dcterms:created xsi:type="dcterms:W3CDTF">2019-09-02T07:19:00Z</dcterms:created>
  <dcterms:modified xsi:type="dcterms:W3CDTF">2019-09-02T07:20:00Z</dcterms:modified>
</cp:coreProperties>
</file>