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34" w:rsidRDefault="00604D34" w:rsidP="00604D34">
      <w:pPr>
        <w:pStyle w:val="a5"/>
        <w:spacing w:before="0" w:beforeAutospacing="0" w:after="0" w:afterAutospacing="0" w:line="289" w:lineRule="atLeast"/>
        <w:jc w:val="center"/>
      </w:pPr>
      <w:r>
        <w:rPr>
          <w:rStyle w:val="a6"/>
          <w:rFonts w:ascii="微软雅黑" w:eastAsia="微软雅黑" w:hAnsi="微软雅黑" w:hint="eastAsia"/>
          <w:color w:val="2E75B6"/>
        </w:rPr>
        <w:t>铜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jc w:val="center"/>
      </w:pPr>
      <w:r>
        <w:rPr>
          <w:rStyle w:val="a6"/>
          <w:rFonts w:ascii="微软雅黑" w:eastAsia="微软雅黑" w:hAnsi="微软雅黑" w:hint="eastAsia"/>
          <w:color w:val="000000"/>
        </w:rPr>
        <w:t>市场对于贸易摩擦消息趋于疲沓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ind w:firstLine="363"/>
      </w:pPr>
      <w:r>
        <w:rPr>
          <w:rFonts w:ascii="微软雅黑" w:eastAsia="微软雅黑" w:hAnsi="微软雅黑" w:hint="eastAsia"/>
          <w:color w:val="000000"/>
        </w:rPr>
        <w:t>1、决定铜价走势的主要是宏观经济预期和微观供需基本面，去年来宏观影响更为明显，今年上半年中美贸易摩擦等宏观因素基本主导铜价的涨跌。中期看，宏观上世界经济走缓预期非常明显，特别是欧美发达经济体，全球很多国家与地区又重新进入降息模式。另一方面铜供应紧张也成为常态，铜矿罢工也时有发生，铜加工费明显下降，库存低于去年同期。总体而言，宏观上中长期走弱，贸易摩擦也不可能短期得以解决，基本面上供应紧张形成多空交织态势，铜价陷入宽幅震荡。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ind w:firstLine="363"/>
      </w:pPr>
      <w:r>
        <w:rPr>
          <w:rFonts w:ascii="微软雅黑" w:eastAsia="微软雅黑" w:hAnsi="微软雅黑" w:hint="eastAsia"/>
          <w:color w:val="000000"/>
        </w:rPr>
        <w:t>2、中美两国领导人在G20会议期间会晤，同意重启经贸磋商，中美在上海也举行了磋商，但美方出尔反尔使得贸易摩擦前景预期并不太乐观，此前中国提出对美商品进行关税反制，美国总统特朗普又升级至5500亿商品的加征，中美贸易摩擦升级，上周双方经贸团队磋商，美又公布商品排除清单短期提振了市场信心，但体现在价格上则趋于疲沓，反应并不强烈。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jc w:val="center"/>
      </w:pPr>
    </w:p>
    <w:p w:rsidR="00604D34" w:rsidRDefault="00604D34" w:rsidP="00604D34">
      <w:pPr>
        <w:pStyle w:val="a5"/>
        <w:spacing w:before="0" w:beforeAutospacing="0" w:after="0" w:afterAutospacing="0" w:line="289" w:lineRule="atLeast"/>
        <w:jc w:val="center"/>
      </w:pPr>
      <w:r>
        <w:rPr>
          <w:rStyle w:val="a6"/>
          <w:rFonts w:ascii="微软雅黑" w:eastAsia="微软雅黑" w:hAnsi="微软雅黑" w:hint="eastAsia"/>
          <w:color w:val="2E75B6"/>
        </w:rPr>
        <w:t>菜粕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jc w:val="center"/>
      </w:pPr>
      <w:r>
        <w:rPr>
          <w:rStyle w:val="a6"/>
          <w:rFonts w:ascii="微软雅黑" w:eastAsia="微软雅黑" w:hAnsi="微软雅黑" w:hint="eastAsia"/>
          <w:color w:val="000000"/>
        </w:rPr>
        <w:t>贸易摩擦反复 需求无亮点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ind w:firstLine="363"/>
      </w:pPr>
      <w:r>
        <w:rPr>
          <w:rFonts w:ascii="微软雅黑" w:eastAsia="微软雅黑" w:hAnsi="微软雅黑" w:hint="eastAsia"/>
          <w:color w:val="000000"/>
        </w:rPr>
        <w:t>经过九月初的连续下跌以后，菜粕主力2001合约在2245元/吨附近止跌震荡。中美双方确定10月初在华盛顿举行第十三轮中美经贸高级别磋商，但是紧张关系短期难解决，反复是常态，整体看依旧是基本面方面最大的不确定因素。9月底对孟晚舟的听证会可能会引发菜粕的一轮行情。菜籽方面，全球整体呈现供应收紧的情况，截止9月，欧盟、加拿大、乌克兰、澳大利亚菜籽产量均出现大幅度下调。我国进口菜籽受阻，库存处于历史同期低位，由于今年水产养殖利</w:t>
      </w:r>
      <w:r>
        <w:rPr>
          <w:rFonts w:ascii="微软雅黑" w:eastAsia="微软雅黑" w:hAnsi="微软雅黑" w:hint="eastAsia"/>
          <w:color w:val="000000"/>
        </w:rPr>
        <w:lastRenderedPageBreak/>
        <w:t>润一般和南方前期水患影响，水产消费有所减弱，加之与豆粕相比，菜粕性价比不高等共同影响，导致菜粕没有呈现出供应偏紧的状况，库存与历年相比基本持平。预计菜粕价格短期内或将维持震荡。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jc w:val="center"/>
      </w:pPr>
    </w:p>
    <w:p w:rsidR="00604D34" w:rsidRDefault="00604D34" w:rsidP="00604D34">
      <w:pPr>
        <w:pStyle w:val="a5"/>
        <w:spacing w:before="0" w:beforeAutospacing="0" w:after="0" w:afterAutospacing="0" w:line="289" w:lineRule="atLeast"/>
        <w:jc w:val="center"/>
      </w:pPr>
      <w:r>
        <w:rPr>
          <w:rStyle w:val="a6"/>
          <w:rFonts w:ascii="微软雅黑" w:eastAsia="微软雅黑" w:hAnsi="微软雅黑" w:hint="eastAsia"/>
          <w:color w:val="2E75B6"/>
        </w:rPr>
        <w:t>橡胶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ind w:firstLine="363"/>
      </w:pPr>
      <w:r>
        <w:rPr>
          <w:rFonts w:ascii="微软雅黑" w:eastAsia="微软雅黑" w:hAnsi="微软雅黑" w:hint="eastAsia"/>
          <w:color w:val="000000"/>
        </w:rPr>
        <w:t>上周橡胶涨后回落，下方支撑位或受挑战。当前市场供需面仍未有明显改观，随着主产国季节性旺产季来临，加之社会库存充足，供应面依然维持宽松格局，需求来看，国庆长假部分企业开工或受影响，商家按意愿采购无囤货计划，对原材料采购意愿不高，现货需求跟进乏力。盘面看，经过近期频繁调整，橡胶依然难以形成持续上涨，且近期基差收窄，操作空间有限，沪胶倾向低位震荡走势。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jc w:val="center"/>
      </w:pPr>
    </w:p>
    <w:p w:rsidR="00604D34" w:rsidRDefault="00604D34" w:rsidP="00604D34">
      <w:pPr>
        <w:pStyle w:val="a5"/>
        <w:spacing w:before="0" w:beforeAutospacing="0" w:after="0" w:afterAutospacing="0" w:line="289" w:lineRule="atLeast"/>
        <w:jc w:val="center"/>
      </w:pPr>
      <w:r>
        <w:rPr>
          <w:rStyle w:val="a6"/>
          <w:rFonts w:ascii="微软雅黑" w:eastAsia="微软雅黑" w:hAnsi="微软雅黑" w:hint="eastAsia"/>
          <w:color w:val="2E75B6"/>
        </w:rPr>
        <w:t>白糖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jc w:val="center"/>
      </w:pPr>
      <w:r>
        <w:rPr>
          <w:rStyle w:val="a6"/>
          <w:rFonts w:ascii="微软雅黑" w:eastAsia="微软雅黑" w:hAnsi="微软雅黑" w:hint="eastAsia"/>
          <w:color w:val="000000"/>
        </w:rPr>
        <w:t>现货需求减弱，郑糖面临回调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ind w:firstLine="363"/>
      </w:pPr>
      <w:r>
        <w:rPr>
          <w:rFonts w:ascii="微软雅黑" w:eastAsia="微软雅黑" w:hAnsi="微软雅黑" w:hint="eastAsia"/>
          <w:color w:val="000000"/>
        </w:rPr>
        <w:t>1、随着中秋节结束，双节备货已基本完成，火爆了数个月的现货需求转淡。甜菜糖已经开榨，新糖即将入市的心理预期增强。未来几个月进口加工糖可能会集中上市，扭转目前市场库存偏低的现状。这些因素叠加在一起，预计本周郑糖价格将进一步下跌。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ind w:firstLine="363"/>
      </w:pPr>
      <w:r>
        <w:rPr>
          <w:rFonts w:ascii="微软雅黑" w:eastAsia="微软雅黑" w:hAnsi="微软雅黑" w:hint="eastAsia"/>
          <w:color w:val="000000"/>
        </w:rPr>
        <w:t>2、尽管世界各大主产国都预计减产，分析机构对2019/20榨季供给缺口的预计也越来越大，原糖价格也正如我们预期超跌反弹，但原糖的反弹相当无力，投机空头反而大举增仓。这说明当前国际市场原糖短期供给仍然充足，正是连续两年增产积累下来的巨大库存在发挥作用。本周预计原糖价格维持震荡。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jc w:val="center"/>
      </w:pPr>
    </w:p>
    <w:p w:rsidR="00604D34" w:rsidRDefault="00604D34" w:rsidP="00604D34">
      <w:pPr>
        <w:pStyle w:val="a5"/>
        <w:spacing w:before="0" w:beforeAutospacing="0" w:after="0" w:afterAutospacing="0" w:line="289" w:lineRule="atLeast"/>
        <w:jc w:val="center"/>
      </w:pPr>
      <w:r>
        <w:rPr>
          <w:rStyle w:val="a6"/>
          <w:rFonts w:ascii="微软雅黑" w:eastAsia="微软雅黑" w:hAnsi="微软雅黑" w:hint="eastAsia"/>
          <w:color w:val="2E75B6"/>
        </w:rPr>
        <w:t>油脂类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jc w:val="center"/>
      </w:pPr>
      <w:r>
        <w:rPr>
          <w:rStyle w:val="a6"/>
          <w:rFonts w:ascii="微软雅黑" w:eastAsia="微软雅黑" w:hAnsi="微软雅黑" w:hint="eastAsia"/>
          <w:color w:val="000000"/>
        </w:rPr>
        <w:t>利多消退，价格回落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ind w:firstLine="363"/>
      </w:pPr>
      <w:r>
        <w:rPr>
          <w:rFonts w:ascii="微软雅黑" w:eastAsia="微软雅黑" w:hAnsi="微软雅黑" w:hint="eastAsia"/>
          <w:color w:val="000000"/>
        </w:rPr>
        <w:lastRenderedPageBreak/>
        <w:t>1、豆棕两油价格充分反映前期供需利多，短期缺乏继续向上动力。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ind w:firstLine="363"/>
      </w:pPr>
      <w:r>
        <w:rPr>
          <w:rFonts w:ascii="微软雅黑" w:eastAsia="微软雅黑" w:hAnsi="微软雅黑" w:hint="eastAsia"/>
          <w:color w:val="000000"/>
        </w:rPr>
        <w:t>2、豆油方面，短期内偏高榨利带动供给有所上行，叠加双节备货完成，供需格具逐步转松，价格短期见顶回落。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ind w:firstLine="363"/>
      </w:pPr>
      <w:r>
        <w:rPr>
          <w:rFonts w:ascii="微软雅黑" w:eastAsia="微软雅黑" w:hAnsi="微软雅黑" w:hint="eastAsia"/>
          <w:color w:val="000000"/>
        </w:rPr>
        <w:t>3、棕榈油方面，马棕产量出现反弹，库存维持高位，整体供应情况没有得到根本性改善，价值短期外部需求回落，导致棕榈油基本面同样较前期转弱，价格小幅回落。就中期而言，当前基本面较年初已有较大改善，预计回落幅度有限，价格维持震荡概率较大。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ind w:firstLine="363"/>
      </w:pPr>
      <w:r>
        <w:rPr>
          <w:rFonts w:ascii="微软雅黑" w:eastAsia="微软雅黑" w:hAnsi="微软雅黑" w:hint="eastAsia"/>
          <w:color w:val="000000"/>
        </w:rPr>
        <w:t>4、豆棕价差方面，当前价差1300附近，短线考虑再1200-1350区间逢高抛空，滚动操作。长线单观望为主。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jc w:val="center"/>
      </w:pPr>
      <w:r>
        <w:rPr>
          <w:rStyle w:val="a6"/>
          <w:rFonts w:ascii="微软雅黑" w:eastAsia="微软雅黑" w:hAnsi="微软雅黑" w:hint="eastAsia"/>
          <w:color w:val="2E75B6"/>
        </w:rPr>
        <w:t>玉米</w:t>
      </w:r>
      <w:r>
        <w:rPr>
          <w:rStyle w:val="a6"/>
          <w:rFonts w:ascii="微软雅黑" w:eastAsia="微软雅黑" w:hAnsi="微软雅黑" w:hint="eastAsia"/>
          <w:color w:val="2E75B6"/>
          <w:spacing w:val="23"/>
          <w:sz w:val="19"/>
          <w:szCs w:val="19"/>
        </w:rPr>
        <w:t>&amp;</w:t>
      </w:r>
      <w:r>
        <w:rPr>
          <w:rStyle w:val="a6"/>
          <w:rFonts w:ascii="微软雅黑" w:eastAsia="微软雅黑" w:hAnsi="微软雅黑" w:hint="eastAsia"/>
          <w:color w:val="2E75B6"/>
        </w:rPr>
        <w:t>淀粉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jc w:val="center"/>
      </w:pPr>
      <w:r>
        <w:rPr>
          <w:rStyle w:val="a6"/>
          <w:rFonts w:ascii="微软雅黑" w:eastAsia="微软雅黑" w:hAnsi="微软雅黑" w:hint="eastAsia"/>
          <w:color w:val="000000"/>
        </w:rPr>
        <w:t>秋收卖压临近，需求无好转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ind w:firstLine="363"/>
      </w:pPr>
      <w:r>
        <w:rPr>
          <w:rFonts w:ascii="微软雅黑" w:eastAsia="微软雅黑" w:hAnsi="微软雅黑" w:hint="eastAsia"/>
          <w:color w:val="000000"/>
        </w:rPr>
        <w:t>1．贸易政策松动但对玉米价格影响较小，关注后续政策变化。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ind w:firstLine="363"/>
      </w:pPr>
      <w:r>
        <w:rPr>
          <w:rFonts w:ascii="微软雅黑" w:eastAsia="微软雅黑" w:hAnsi="微软雅黑" w:hint="eastAsia"/>
          <w:color w:val="000000"/>
        </w:rPr>
        <w:t>2.主产区天气利于农作物产量形成，新季玉米陆续上市卖压较重。本周抛储量降到350万吨，成交低迷，价格较上周微升。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ind w:firstLine="363"/>
      </w:pPr>
      <w:r>
        <w:rPr>
          <w:rFonts w:ascii="微软雅黑" w:eastAsia="微软雅黑" w:hAnsi="微软雅黑" w:hint="eastAsia"/>
          <w:color w:val="000000"/>
        </w:rPr>
        <w:t>3.生猪存栏环比下降，猪肉价格上涨养殖利润增加，国家出台养殖行业政策，饲料需求在未来一段时间内有望增加。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ind w:firstLine="363"/>
      </w:pPr>
      <w:r>
        <w:rPr>
          <w:rFonts w:ascii="微软雅黑" w:eastAsia="微软雅黑" w:hAnsi="微软雅黑" w:hint="eastAsia"/>
          <w:color w:val="000000"/>
        </w:rPr>
        <w:t>4.玉米和淀粉价格与上周持平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ind w:firstLine="363"/>
      </w:pPr>
      <w:r>
        <w:rPr>
          <w:rFonts w:ascii="微软雅黑" w:eastAsia="微软雅黑" w:hAnsi="微软雅黑" w:hint="eastAsia"/>
          <w:color w:val="000000"/>
        </w:rPr>
        <w:t>5.深加工开机率上升，淀粉库存小幅增加。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  <w:ind w:firstLine="363"/>
      </w:pPr>
      <w:r>
        <w:rPr>
          <w:rFonts w:ascii="微软雅黑" w:eastAsia="微软雅黑" w:hAnsi="微软雅黑" w:hint="eastAsia"/>
          <w:color w:val="000000"/>
        </w:rPr>
        <w:t>综上，贸易战仍是不确定因素，但影响弱了很多，主产区天气近段时间利于农作物产量形成，秋收卖压逐步呈现，今年产量预期增加开秤价预期走低，抛储低迷也预示价格暂时难以有所起色，猪肉价格飙升引发国家出台政策稳定生猪养</w:t>
      </w:r>
      <w:r>
        <w:rPr>
          <w:rFonts w:ascii="微软雅黑" w:eastAsia="微软雅黑" w:hAnsi="微软雅黑" w:hint="eastAsia"/>
          <w:color w:val="000000"/>
        </w:rPr>
        <w:lastRenderedPageBreak/>
        <w:t>殖行业需求端未来或有好转，操作上2001合约可逐步进场做多，玉米淀粉1月价差走低后可少量进场（买玉米空淀粉）。</w:t>
      </w:r>
    </w:p>
    <w:p w:rsidR="00604D34" w:rsidRDefault="00604D34" w:rsidP="00604D34">
      <w:pPr>
        <w:pStyle w:val="a5"/>
        <w:spacing w:before="0" w:beforeAutospacing="0" w:after="0" w:afterAutospacing="0" w:line="289" w:lineRule="atLeast"/>
      </w:pPr>
    </w:p>
    <w:p w:rsidR="00604D34" w:rsidRDefault="00604D34" w:rsidP="00604D34">
      <w:pPr>
        <w:pStyle w:val="a5"/>
        <w:spacing w:before="0" w:beforeAutospacing="0" w:after="0" w:afterAutospacing="0" w:line="289" w:lineRule="atLeast"/>
      </w:pPr>
      <w:r>
        <w:rPr>
          <w:rStyle w:val="a6"/>
          <w:color w:val="000000"/>
          <w:sz w:val="17"/>
          <w:szCs w:val="17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604D34" w:rsidRDefault="00604D34" w:rsidP="00604D34">
      <w:pPr>
        <w:pStyle w:val="a5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888865" cy="3189605"/>
            <wp:effectExtent l="19050" t="0" r="6985" b="0"/>
            <wp:docPr id="1" name="图片 1" descr="https://mmbiz.qpic.cn/mmbiz_png/LBX4T1S9UVFkia0RVUzeEt91mYL1SZNXrm0V2EdAia8m3w64vx4IFrPZC1iajj6dKusHCcavukZ2nZMJngXF1zrT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LBX4T1S9UVFkia0RVUzeEt91mYL1SZNXrm0V2EdAia8m3w64vx4IFrPZC1iajj6dKusHCcavukZ2nZMJngXF1zrTQ/640?wx_fmt=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D34" w:rsidRDefault="00604D34" w:rsidP="00604D34">
      <w:pPr>
        <w:pStyle w:val="a5"/>
        <w:spacing w:before="0" w:beforeAutospacing="0" w:after="0" w:afterAutospacing="0"/>
      </w:pPr>
    </w:p>
    <w:p w:rsidR="00604D34" w:rsidRDefault="00604D34" w:rsidP="00604D34">
      <w:pPr>
        <w:pStyle w:val="a5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z w:val="19"/>
          <w:szCs w:val="19"/>
        </w:rPr>
      </w:pPr>
      <w:r>
        <w:rPr>
          <w:rFonts w:ascii="Microsoft YaHei UI" w:eastAsia="Microsoft YaHei UI" w:hAnsi="Microsoft YaHei UI" w:hint="eastAsia"/>
          <w:color w:val="333333"/>
          <w:sz w:val="19"/>
          <w:szCs w:val="19"/>
        </w:rPr>
        <w:br/>
      </w:r>
      <w:r>
        <w:rPr>
          <w:rFonts w:ascii="MS Gothic" w:eastAsia="MS Gothic" w:hAnsi="MS Gothic" w:cs="MS Gothic" w:hint="eastAsia"/>
          <w:color w:val="333333"/>
          <w:sz w:val="19"/>
          <w:szCs w:val="19"/>
        </w:rPr>
        <w:t>​</w:t>
      </w:r>
    </w:p>
    <w:p w:rsidR="003C7464" w:rsidRDefault="003C7464"/>
    <w:sectPr w:rsidR="003C7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464" w:rsidRDefault="003C7464" w:rsidP="00604D34">
      <w:r>
        <w:separator/>
      </w:r>
    </w:p>
  </w:endnote>
  <w:endnote w:type="continuationSeparator" w:id="1">
    <w:p w:rsidR="003C7464" w:rsidRDefault="003C7464" w:rsidP="006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464" w:rsidRDefault="003C7464" w:rsidP="00604D34">
      <w:r>
        <w:separator/>
      </w:r>
    </w:p>
  </w:footnote>
  <w:footnote w:type="continuationSeparator" w:id="1">
    <w:p w:rsidR="003C7464" w:rsidRDefault="003C7464" w:rsidP="00604D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D34"/>
    <w:rsid w:val="003C7464"/>
    <w:rsid w:val="0060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D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D3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04D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04D3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04D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4D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2019-09-25T08:15:00Z</dcterms:created>
  <dcterms:modified xsi:type="dcterms:W3CDTF">2019-09-25T08:15:00Z</dcterms:modified>
</cp:coreProperties>
</file>