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EF" w:rsidRPr="00575EEF" w:rsidRDefault="00575EEF" w:rsidP="00575EEF">
      <w:pPr>
        <w:adjustRightInd/>
        <w:snapToGrid/>
        <w:spacing w:after="0"/>
        <w:rPr>
          <w:rFonts w:ascii="宋体" w:eastAsia="宋体" w:hAnsi="宋体" w:cs="宋体"/>
          <w:sz w:val="24"/>
          <w:szCs w:val="24"/>
        </w:rPr>
      </w:pPr>
    </w:p>
    <w:p w:rsidR="00575EEF" w:rsidRPr="00575EEF" w:rsidRDefault="00575EEF" w:rsidP="00575EEF">
      <w:pPr>
        <w:adjustRightInd/>
        <w:snapToGrid/>
        <w:spacing w:after="0"/>
        <w:jc w:val="center"/>
        <w:rPr>
          <w:rFonts w:ascii="宋体" w:eastAsia="宋体" w:hAnsi="宋体" w:cs="宋体"/>
          <w:sz w:val="24"/>
          <w:szCs w:val="24"/>
        </w:rPr>
      </w:pPr>
    </w:p>
    <w:p w:rsidR="00575EEF" w:rsidRPr="00575EEF" w:rsidRDefault="00575EEF" w:rsidP="00575EEF">
      <w:pPr>
        <w:adjustRightInd/>
        <w:snapToGrid/>
        <w:spacing w:after="0"/>
        <w:rPr>
          <w:rFonts w:ascii="宋体" w:eastAsia="宋体" w:hAnsi="宋体" w:cs="宋体"/>
          <w:spacing w:val="30"/>
          <w:sz w:val="24"/>
          <w:szCs w:val="24"/>
        </w:rPr>
      </w:pPr>
      <w:r w:rsidRPr="00575EEF">
        <w:rPr>
          <w:rFonts w:ascii="宋体" w:eastAsia="宋体" w:hAnsi="宋体" w:cs="宋体"/>
          <w:b/>
          <w:bCs/>
          <w:color w:val="FF0000"/>
          <w:spacing w:val="23"/>
          <w:sz w:val="27"/>
        </w:rPr>
        <w:t>周度品种观点</w:t>
      </w:r>
    </w:p>
    <w:p w:rsidR="00575EEF" w:rsidRPr="00575EEF" w:rsidRDefault="00575EEF" w:rsidP="00575EEF">
      <w:pPr>
        <w:adjustRightInd/>
        <w:snapToGrid/>
        <w:spacing w:after="0"/>
        <w:rPr>
          <w:rFonts w:ascii="宋体" w:eastAsia="宋体" w:hAnsi="宋体" w:cs="宋体"/>
          <w:spacing w:val="30"/>
          <w:sz w:val="24"/>
          <w:szCs w:val="24"/>
        </w:rPr>
      </w:pPr>
      <w:r w:rsidRPr="00575EEF">
        <w:rPr>
          <w:rFonts w:ascii="宋体" w:eastAsia="宋体" w:hAnsi="宋体" w:cs="宋体"/>
          <w:b/>
          <w:bCs/>
          <w:color w:val="FFA900"/>
          <w:spacing w:val="30"/>
          <w:sz w:val="27"/>
        </w:rPr>
        <w:t>铜</w:t>
      </w:r>
    </w:p>
    <w:p w:rsidR="00575EEF" w:rsidRPr="00575EEF" w:rsidRDefault="00575EEF" w:rsidP="00575EEF">
      <w:pPr>
        <w:adjustRightInd/>
        <w:snapToGrid/>
        <w:spacing w:after="0"/>
        <w:rPr>
          <w:rFonts w:ascii="宋体" w:eastAsia="宋体" w:hAnsi="宋体" w:cs="宋体"/>
          <w:sz w:val="24"/>
          <w:szCs w:val="24"/>
        </w:rPr>
      </w:pPr>
      <w:r w:rsidRPr="00575EEF">
        <w:rPr>
          <w:rFonts w:ascii="宋体" w:eastAsia="宋体" w:hAnsi="宋体" w:cs="宋体" w:hint="eastAsia"/>
          <w:b/>
          <w:bCs/>
          <w:color w:val="000000"/>
          <w:sz w:val="26"/>
        </w:rPr>
        <w:t>供应扰动支撑铜价</w:t>
      </w:r>
      <w:r w:rsidRPr="00575EEF">
        <w:rPr>
          <w:rFonts w:ascii="宋体" w:eastAsia="宋体" w:hAnsi="宋体" w:cs="宋体" w:hint="eastAsia"/>
          <w:color w:val="000000"/>
          <w:sz w:val="24"/>
          <w:szCs w:val="24"/>
        </w:rPr>
        <w:t>1.决定铜价走势的主要是宏观经济预期和微观供需基本面，去年来宏观影响更为明显，今年上半年中美贸易摩擦等宏观因素基本主导铜价的涨跌。中期看，宏观上世界经济走缓预期非常明显，特别是欧美发达经济体，全球很多国家与地区又重新进入降息模式。另一方面铜供应紧张也成为常态，铜矿罢工也时有发生，铜加工费明显下降，库存低于去年同期。总体而言，宏观上中长期走弱，贸易摩擦也不可能短期得以解决，基本面上供应紧张形成多空交织态势，铜价陷入宽幅震荡。2.中美两国领导人在G20会议期间会晤，同意重启经贸磋商，期间美方出尔反尔使得贸易摩擦前景预期并不太乐观，进展一波三折，中国长假后重启的谈判进展顺利，中美贸易摩擦的忧虑有所缓解。上周智利铜矿罢工事件扰动不断，市场对供给端的趋紧预期对铜价有所支撑。3.微观上铜本身市场结构方面，交易所显性库存时有增加，特别是LME经常出现大幅度的交货行为，COMEX库存持续下降周期基本结束，中国市场消费也是鲜有亮点，虽然三大交易所总库存一度低于去年同期，但下降速度不及去年，当前已经与去年基本持平，对铜价的支撑显著下降；CFTC显示基金近段大幅持有空头头寸，基金空单已经达到历史最高水平，基金看淡后市非常明显。4.预期本周铜价震荡，虽然中美贸易摩擦缓解，但世界经济仍不乐观。策略上仍维持前期46000以下买入单子可在47500以上短期平仓，上周已到平仓位置。急跌大跌至46000附近可以再买入，如果短期冲高至48000以上可以小量轻仓做空。</w:t>
      </w:r>
    </w:p>
    <w:p w:rsidR="00575EEF" w:rsidRPr="00575EEF" w:rsidRDefault="00575EEF" w:rsidP="00575EEF">
      <w:pPr>
        <w:adjustRightInd/>
        <w:snapToGrid/>
        <w:spacing w:after="0" w:line="383" w:lineRule="atLeast"/>
        <w:jc w:val="center"/>
        <w:rPr>
          <w:rFonts w:ascii="宋体" w:eastAsia="宋体" w:hAnsi="宋体" w:cs="宋体"/>
          <w:sz w:val="24"/>
          <w:szCs w:val="24"/>
        </w:rPr>
      </w:pPr>
    </w:p>
    <w:p w:rsidR="00575EEF" w:rsidRPr="00575EEF" w:rsidRDefault="00575EEF" w:rsidP="00575EEF">
      <w:pPr>
        <w:adjustRightInd/>
        <w:snapToGrid/>
        <w:spacing w:after="0"/>
        <w:rPr>
          <w:rFonts w:ascii="宋体" w:eastAsia="宋体" w:hAnsi="宋体" w:cs="宋体"/>
          <w:spacing w:val="30"/>
          <w:sz w:val="24"/>
          <w:szCs w:val="24"/>
        </w:rPr>
      </w:pPr>
      <w:r w:rsidRPr="00575EEF">
        <w:rPr>
          <w:rFonts w:ascii="宋体" w:eastAsia="宋体" w:hAnsi="宋体" w:cs="宋体"/>
          <w:b/>
          <w:bCs/>
          <w:color w:val="FFA900"/>
          <w:spacing w:val="30"/>
          <w:sz w:val="27"/>
        </w:rPr>
        <w:t>白糖</w:t>
      </w:r>
    </w:p>
    <w:p w:rsidR="00575EEF" w:rsidRPr="00575EEF" w:rsidRDefault="00575EEF" w:rsidP="00575EEF">
      <w:pPr>
        <w:adjustRightInd/>
        <w:snapToGrid/>
        <w:spacing w:after="0"/>
        <w:rPr>
          <w:rFonts w:ascii="宋体" w:eastAsia="宋体" w:hAnsi="宋体" w:cs="宋体"/>
          <w:sz w:val="24"/>
          <w:szCs w:val="24"/>
        </w:rPr>
      </w:pPr>
      <w:r w:rsidRPr="00575EEF">
        <w:rPr>
          <w:rFonts w:ascii="宋体" w:eastAsia="宋体" w:hAnsi="宋体" w:cs="宋体" w:hint="eastAsia"/>
          <w:b/>
          <w:bCs/>
          <w:color w:val="000000"/>
          <w:sz w:val="26"/>
        </w:rPr>
        <w:t>供需两弱，郑糖面临回落</w:t>
      </w:r>
      <w:r w:rsidRPr="00575EEF">
        <w:rPr>
          <w:rFonts w:ascii="宋体" w:eastAsia="宋体" w:hAnsi="宋体" w:cs="宋体" w:hint="eastAsia"/>
          <w:color w:val="000000"/>
          <w:sz w:val="24"/>
          <w:szCs w:val="24"/>
        </w:rPr>
        <w:t>1.同上周观点，郑糖在5600关口再一次遭到压制。节后国内现货需求转淡，同时库存有待补充，在供需两弱的时间点上，新榨季的开榨和进口加工糖的补充，将成为短期主要的利空因素。本周预计郑糖价格继续回落。2.泰国出口扩大，巴西产量同比激增，短期全球基本面偏空，空头趁机增仓使得国际糖价保持弱势。目前，各大主产国纷纷预测产量下降，新榨季供给缺口预测也逐渐变大。但前两个榨季累计的巨量库存牢牢压制糖价。如果空头持续增仓，原糖价格还会继续下跌。</w:t>
      </w:r>
    </w:p>
    <w:p w:rsidR="00575EEF" w:rsidRPr="00575EEF" w:rsidRDefault="00575EEF" w:rsidP="00575EEF">
      <w:pPr>
        <w:adjustRightInd/>
        <w:snapToGrid/>
        <w:spacing w:after="0" w:line="383" w:lineRule="atLeast"/>
        <w:ind w:firstLine="480"/>
        <w:jc w:val="both"/>
        <w:rPr>
          <w:rFonts w:ascii="宋体" w:eastAsia="宋体" w:hAnsi="宋体" w:cs="宋体"/>
          <w:sz w:val="24"/>
          <w:szCs w:val="24"/>
        </w:rPr>
      </w:pPr>
    </w:p>
    <w:p w:rsidR="00575EEF" w:rsidRPr="00575EEF" w:rsidRDefault="00575EEF" w:rsidP="00575EEF">
      <w:pPr>
        <w:adjustRightInd/>
        <w:snapToGrid/>
        <w:spacing w:after="0"/>
        <w:rPr>
          <w:rFonts w:ascii="宋体" w:eastAsia="宋体" w:hAnsi="宋体" w:cs="宋体"/>
          <w:spacing w:val="30"/>
          <w:sz w:val="24"/>
          <w:szCs w:val="24"/>
        </w:rPr>
      </w:pPr>
      <w:r w:rsidRPr="00575EEF">
        <w:rPr>
          <w:rFonts w:ascii="宋体" w:eastAsia="宋体" w:hAnsi="宋体" w:cs="宋体"/>
          <w:b/>
          <w:bCs/>
          <w:color w:val="FFA900"/>
          <w:spacing w:val="30"/>
          <w:sz w:val="27"/>
        </w:rPr>
        <w:t>玉米&amp;淀粉</w:t>
      </w:r>
    </w:p>
    <w:p w:rsidR="00575EEF" w:rsidRPr="00575EEF" w:rsidRDefault="00575EEF" w:rsidP="00575EEF">
      <w:pPr>
        <w:adjustRightInd/>
        <w:snapToGrid/>
        <w:spacing w:after="0"/>
        <w:rPr>
          <w:rFonts w:ascii="宋体" w:eastAsia="宋体" w:hAnsi="宋体" w:cs="宋体"/>
          <w:sz w:val="24"/>
          <w:szCs w:val="24"/>
        </w:rPr>
      </w:pPr>
      <w:r w:rsidRPr="00575EEF">
        <w:rPr>
          <w:rFonts w:ascii="宋体" w:eastAsia="宋体" w:hAnsi="宋体" w:cs="宋体" w:hint="eastAsia"/>
          <w:b/>
          <w:bCs/>
          <w:color w:val="000000"/>
          <w:sz w:val="26"/>
        </w:rPr>
        <w:t>主产区供给压力来临，价格震荡寻底</w:t>
      </w:r>
      <w:r w:rsidRPr="00575EEF">
        <w:rPr>
          <w:rFonts w:ascii="宋体" w:eastAsia="宋体" w:hAnsi="宋体" w:cs="宋体" w:hint="eastAsia"/>
          <w:color w:val="000000"/>
          <w:sz w:val="26"/>
          <w:szCs w:val="26"/>
          <w:shd w:val="clear" w:color="auto" w:fill="FFFFFF"/>
        </w:rPr>
        <w:t>1．贸易争端缓解，影响变小，关注后续政策。</w:t>
      </w:r>
      <w:r w:rsidRPr="00575EEF">
        <w:rPr>
          <w:rFonts w:ascii="宋体" w:eastAsia="宋体" w:hAnsi="宋体" w:cs="宋体" w:hint="eastAsia"/>
          <w:color w:val="222222"/>
          <w:sz w:val="24"/>
          <w:szCs w:val="24"/>
          <w:shd w:val="clear" w:color="auto" w:fill="FFFFFF"/>
        </w:rPr>
        <w:t>2.</w:t>
      </w:r>
      <w:r w:rsidRPr="00575EEF">
        <w:rPr>
          <w:rFonts w:ascii="宋体" w:eastAsia="宋体" w:hAnsi="宋体" w:cs="宋体" w:hint="eastAsia"/>
          <w:color w:val="000000"/>
          <w:sz w:val="24"/>
          <w:szCs w:val="24"/>
        </w:rPr>
        <w:t>主产区收获推后，供给压力来临。抛储结束，短期供应压力增大。</w:t>
      </w:r>
      <w:r w:rsidRPr="00575EEF">
        <w:rPr>
          <w:rFonts w:ascii="宋体" w:eastAsia="宋体" w:hAnsi="宋体" w:cs="宋体" w:hint="eastAsia"/>
          <w:color w:val="222222"/>
          <w:sz w:val="24"/>
          <w:szCs w:val="24"/>
          <w:shd w:val="clear" w:color="auto" w:fill="FFFFFF"/>
        </w:rPr>
        <w:t>3.生猪存栏环比下降，猪肉价格上涨养殖利润增加，猪瘟疫情仍很严重，目前国家层面出台政策鼓励养猪，自北向南猪料需求逐步恢复，但在疫苗未出现前，养殖需求持续恢复仍需谨慎看待。4.玉米现货价格变化不大，淀粉价格相对稳定。5.深加工开机率上升，淀粉库存小幅增加。综上，</w:t>
      </w:r>
      <w:r w:rsidRPr="00575EEF">
        <w:rPr>
          <w:rFonts w:ascii="宋体" w:eastAsia="宋体" w:hAnsi="宋体" w:cs="宋体" w:hint="eastAsia"/>
          <w:color w:val="000000"/>
          <w:sz w:val="24"/>
          <w:szCs w:val="24"/>
        </w:rPr>
        <w:t>贸易政策影响力下降，主产区即将大幅上市卖压逐步增大，开秤价预期走低，临储拍卖暂停后续供给压力降低，猪肉价格飙升引发国家出台政策稳定生猪养殖行业需求端未来或有好转，深加工开机逐渐恢复，关注2001合约企稳做多机会，玉米淀粉1月价差走低后可少量进场（买玉米空淀粉） 。</w:t>
      </w:r>
    </w:p>
    <w:p w:rsidR="00575EEF" w:rsidRPr="00575EEF" w:rsidRDefault="00575EEF" w:rsidP="00575EEF">
      <w:pPr>
        <w:adjustRightInd/>
        <w:snapToGrid/>
        <w:spacing w:after="0" w:line="383" w:lineRule="atLeast"/>
        <w:ind w:firstLine="480"/>
        <w:jc w:val="both"/>
        <w:rPr>
          <w:rFonts w:ascii="宋体" w:eastAsia="宋体" w:hAnsi="宋体" w:cs="宋体"/>
          <w:sz w:val="24"/>
          <w:szCs w:val="24"/>
        </w:rPr>
      </w:pPr>
    </w:p>
    <w:p w:rsidR="00575EEF" w:rsidRPr="00575EEF" w:rsidRDefault="00575EEF" w:rsidP="00575EEF">
      <w:pPr>
        <w:adjustRightInd/>
        <w:snapToGrid/>
        <w:spacing w:after="0"/>
        <w:rPr>
          <w:rFonts w:ascii="宋体" w:eastAsia="宋体" w:hAnsi="宋体" w:cs="宋体"/>
          <w:spacing w:val="30"/>
          <w:sz w:val="24"/>
          <w:szCs w:val="24"/>
        </w:rPr>
      </w:pPr>
      <w:r w:rsidRPr="00575EEF">
        <w:rPr>
          <w:rFonts w:ascii="宋体" w:eastAsia="宋体" w:hAnsi="宋体" w:cs="宋体"/>
          <w:b/>
          <w:bCs/>
          <w:color w:val="FFA900"/>
          <w:spacing w:val="30"/>
          <w:sz w:val="27"/>
        </w:rPr>
        <w:t>油脂</w:t>
      </w:r>
    </w:p>
    <w:p w:rsidR="00575EEF" w:rsidRPr="00575EEF" w:rsidRDefault="00575EEF" w:rsidP="00575EEF">
      <w:pPr>
        <w:adjustRightInd/>
        <w:snapToGrid/>
        <w:spacing w:after="0"/>
        <w:rPr>
          <w:rFonts w:ascii="宋体" w:eastAsia="宋体" w:hAnsi="宋体" w:cs="宋体"/>
          <w:sz w:val="24"/>
          <w:szCs w:val="24"/>
        </w:rPr>
      </w:pPr>
      <w:r w:rsidRPr="00575EEF">
        <w:rPr>
          <w:rFonts w:ascii="宋体" w:eastAsia="宋体" w:hAnsi="宋体" w:cs="宋体" w:hint="eastAsia"/>
          <w:b/>
          <w:bCs/>
          <w:color w:val="000000"/>
          <w:sz w:val="24"/>
          <w:szCs w:val="24"/>
        </w:rPr>
        <w:t>棕榈供需改善，价格向上突破</w:t>
      </w:r>
      <w:r w:rsidRPr="00575EEF">
        <w:rPr>
          <w:rFonts w:ascii="宋体" w:eastAsia="宋体" w:hAnsi="宋体" w:cs="宋体"/>
          <w:sz w:val="24"/>
          <w:szCs w:val="24"/>
        </w:rPr>
        <w:br/>
      </w:r>
      <w:r w:rsidRPr="00575EEF">
        <w:rPr>
          <w:rFonts w:ascii="宋体" w:eastAsia="宋体" w:hAnsi="宋体" w:cs="宋体"/>
          <w:b/>
          <w:bCs/>
          <w:sz w:val="24"/>
          <w:szCs w:val="24"/>
        </w:rPr>
        <w:t>    </w:t>
      </w:r>
      <w:r w:rsidRPr="00575EEF">
        <w:rPr>
          <w:rFonts w:ascii="宋体" w:eastAsia="宋体" w:hAnsi="宋体" w:cs="宋体"/>
          <w:b/>
          <w:bCs/>
          <w:color w:val="000000"/>
          <w:sz w:val="24"/>
          <w:szCs w:val="24"/>
        </w:rPr>
        <w:t>  </w:t>
      </w:r>
      <w:r w:rsidRPr="00575EEF">
        <w:rPr>
          <w:rFonts w:ascii="宋体" w:eastAsia="宋体" w:hAnsi="宋体" w:cs="宋体" w:hint="eastAsia"/>
          <w:color w:val="000000"/>
          <w:sz w:val="24"/>
          <w:szCs w:val="24"/>
        </w:rPr>
        <w:t>1.</w:t>
      </w:r>
      <w:r w:rsidRPr="00575EEF">
        <w:rPr>
          <w:rFonts w:ascii="宋体" w:eastAsia="宋体" w:hAnsi="宋体" w:cs="宋体" w:hint="eastAsia"/>
          <w:color w:val="000000"/>
          <w:sz w:val="26"/>
          <w:szCs w:val="26"/>
        </w:rPr>
        <w:t>近期棕榈油供需两端均存在乐观预期，带动油脂价格整体反弹，目前而言油脂基本面存在一定程度分化，当前棕榈油供需两端存在利多，整体偏强，豆油远期存在供应压力，相对偏弱。</w:t>
      </w:r>
      <w:r w:rsidRPr="00575EEF">
        <w:rPr>
          <w:rFonts w:ascii="宋体" w:eastAsia="宋体" w:hAnsi="宋体" w:cs="宋体" w:hint="eastAsia"/>
          <w:color w:val="000000"/>
          <w:sz w:val="24"/>
          <w:szCs w:val="24"/>
        </w:rPr>
        <w:t>   2.豆油方面，供应层面来看，短期油厂大豆库存不高，潜在供应压力有限，且国内豆油商业及港口库同比、环比均出现一定降幅，短期供应压力不大。但中期来看，2000万吨的美豆预期采购量将对市场形成供应压力，因此豆油基本面相对弱于棕榈油。   3.棕榈油方面，近期棕榈油反弹主要来自于印尼棕榈油供需层面的改善，一方面是供给端今年夏季的干旱天气逐步影响到当前的棕榈油产量上，造成一定程度的减产，另一方面是印尼政府要求提高生物柴油中棕榈油的含量比例对其工业需求存在一定的推动作用。因而在供减需增的前提下，棕榈油价格快速反弹。当前棕榈油价格的主要风险因素在于产地高库存、季节性需求淡季等方面。   4.豆棕价差方面，当前价差向下突破接近1100，前期持仓考虑盈利部分适量减仓持有。</w:t>
      </w:r>
    </w:p>
    <w:p w:rsidR="00575EEF" w:rsidRPr="00575EEF" w:rsidRDefault="00575EEF" w:rsidP="00575EEF">
      <w:pPr>
        <w:adjustRightInd/>
        <w:snapToGrid/>
        <w:spacing w:after="0" w:line="383" w:lineRule="atLeast"/>
        <w:jc w:val="both"/>
        <w:rPr>
          <w:rFonts w:ascii="宋体" w:eastAsia="宋体" w:hAnsi="宋体" w:cs="宋体"/>
          <w:sz w:val="24"/>
          <w:szCs w:val="24"/>
        </w:rPr>
      </w:pPr>
    </w:p>
    <w:p w:rsidR="00575EEF" w:rsidRPr="00575EEF" w:rsidRDefault="00575EEF" w:rsidP="00575EEF">
      <w:pPr>
        <w:adjustRightInd/>
        <w:snapToGrid/>
        <w:spacing w:after="0"/>
        <w:rPr>
          <w:rFonts w:ascii="宋体" w:eastAsia="宋体" w:hAnsi="宋体" w:cs="宋体"/>
          <w:spacing w:val="30"/>
          <w:sz w:val="24"/>
          <w:szCs w:val="24"/>
        </w:rPr>
      </w:pPr>
      <w:r w:rsidRPr="00575EEF">
        <w:rPr>
          <w:rFonts w:ascii="宋体" w:eastAsia="宋体" w:hAnsi="宋体" w:cs="宋体"/>
          <w:b/>
          <w:bCs/>
          <w:color w:val="FFA900"/>
          <w:spacing w:val="30"/>
          <w:sz w:val="27"/>
        </w:rPr>
        <w:t>甲醇</w:t>
      </w:r>
    </w:p>
    <w:p w:rsidR="00575EEF" w:rsidRPr="00575EEF" w:rsidRDefault="00575EEF" w:rsidP="00575EEF">
      <w:pPr>
        <w:adjustRightInd/>
        <w:snapToGrid/>
        <w:spacing w:after="0"/>
        <w:rPr>
          <w:rFonts w:ascii="宋体" w:eastAsia="宋体" w:hAnsi="宋体" w:cs="宋体"/>
          <w:sz w:val="24"/>
          <w:szCs w:val="24"/>
        </w:rPr>
      </w:pPr>
      <w:r w:rsidRPr="00575EEF">
        <w:rPr>
          <w:rFonts w:ascii="宋体" w:eastAsia="宋体" w:hAnsi="宋体" w:cs="宋体" w:hint="eastAsia"/>
          <w:b/>
          <w:bCs/>
          <w:color w:val="000000"/>
          <w:sz w:val="26"/>
        </w:rPr>
        <w:t>宏观羸弱，需求疲软，去库不及预期，甲醇上涨乏力</w:t>
      </w:r>
      <w:r w:rsidRPr="00575EEF">
        <w:rPr>
          <w:rFonts w:ascii="宋体" w:eastAsia="宋体" w:hAnsi="宋体" w:cs="宋体" w:hint="eastAsia"/>
          <w:color w:val="000000"/>
          <w:sz w:val="24"/>
          <w:szCs w:val="24"/>
        </w:rPr>
        <w:t>1.上周甲醇受到去库不急预期，以及宏观经济下行压力的影响，甲醇价格快速下跌。2.</w:t>
      </w:r>
      <w:r w:rsidRPr="00575EEF">
        <w:rPr>
          <w:rFonts w:ascii="Times New Roman" w:eastAsia="宋体" w:hAnsi="Times New Roman" w:cs="Times New Roman"/>
          <w:color w:val="000000"/>
          <w:sz w:val="14"/>
          <w:szCs w:val="14"/>
        </w:rPr>
        <w:t>  </w:t>
      </w:r>
      <w:r w:rsidRPr="00575EEF">
        <w:rPr>
          <w:rFonts w:ascii="宋体" w:eastAsia="宋体" w:hAnsi="宋体" w:cs="宋体" w:hint="eastAsia"/>
          <w:color w:val="000000"/>
          <w:sz w:val="24"/>
          <w:szCs w:val="24"/>
        </w:rPr>
        <w:t>受整体宏观影响，甲醇上下游利润整体低迷，上游开工维持低位，下游开工有复苏迹象。3.</w:t>
      </w:r>
      <w:r w:rsidRPr="00575EEF">
        <w:rPr>
          <w:rFonts w:ascii="Times New Roman" w:eastAsia="宋体" w:hAnsi="Times New Roman" w:cs="Times New Roman"/>
          <w:color w:val="000000"/>
          <w:sz w:val="14"/>
          <w:szCs w:val="14"/>
        </w:rPr>
        <w:t> </w:t>
      </w:r>
      <w:r w:rsidRPr="00575EEF">
        <w:rPr>
          <w:rFonts w:ascii="宋体" w:eastAsia="宋体" w:hAnsi="宋体" w:cs="宋体" w:hint="eastAsia"/>
          <w:color w:val="000000"/>
          <w:sz w:val="24"/>
          <w:szCs w:val="24"/>
        </w:rPr>
        <w:t>甲醇港口库存去库不及预期，西北库存去库出现反复。4.</w:t>
      </w:r>
      <w:r w:rsidRPr="00575EEF">
        <w:rPr>
          <w:rFonts w:ascii="Times New Roman" w:eastAsia="宋体" w:hAnsi="Times New Roman" w:cs="Times New Roman"/>
          <w:color w:val="000000"/>
          <w:sz w:val="14"/>
          <w:szCs w:val="14"/>
        </w:rPr>
        <w:t> </w:t>
      </w:r>
      <w:r w:rsidRPr="00575EEF">
        <w:rPr>
          <w:rFonts w:ascii="宋体" w:eastAsia="宋体" w:hAnsi="宋体" w:cs="宋体" w:hint="eastAsia"/>
          <w:color w:val="000000"/>
          <w:sz w:val="24"/>
          <w:szCs w:val="24"/>
        </w:rPr>
        <w:t>目前甲醇价格处于历史低点，下跌空间比较有限，但是缺少上涨的驱动，四季度主要考虑短线反弹做多，2100以下建仓，2030止损。</w:t>
      </w:r>
    </w:p>
    <w:p w:rsidR="00575EEF" w:rsidRPr="00575EEF" w:rsidRDefault="00575EEF" w:rsidP="00575EEF">
      <w:pPr>
        <w:adjustRightInd/>
        <w:snapToGrid/>
        <w:spacing w:after="0" w:line="383" w:lineRule="atLeast"/>
        <w:ind w:firstLine="360"/>
        <w:rPr>
          <w:rFonts w:ascii="宋体" w:eastAsia="宋体" w:hAnsi="宋体" w:cs="宋体"/>
          <w:sz w:val="24"/>
          <w:szCs w:val="24"/>
        </w:rPr>
      </w:pPr>
    </w:p>
    <w:p w:rsidR="00575EEF" w:rsidRPr="00575EEF" w:rsidRDefault="00575EEF" w:rsidP="00575EEF">
      <w:pPr>
        <w:adjustRightInd/>
        <w:snapToGrid/>
        <w:spacing w:after="0" w:line="383" w:lineRule="atLeast"/>
        <w:ind w:firstLine="360"/>
        <w:rPr>
          <w:rFonts w:ascii="宋体" w:eastAsia="宋体" w:hAnsi="宋体" w:cs="宋体"/>
          <w:sz w:val="24"/>
          <w:szCs w:val="24"/>
        </w:rPr>
      </w:pPr>
    </w:p>
    <w:p w:rsidR="00575EEF" w:rsidRPr="00575EEF" w:rsidRDefault="00575EEF" w:rsidP="00575EEF">
      <w:pPr>
        <w:adjustRightInd/>
        <w:snapToGrid/>
        <w:spacing w:after="0"/>
        <w:rPr>
          <w:rFonts w:ascii="宋体" w:eastAsia="宋体" w:hAnsi="宋体" w:cs="宋体"/>
          <w:spacing w:val="30"/>
          <w:sz w:val="24"/>
          <w:szCs w:val="24"/>
        </w:rPr>
      </w:pPr>
      <w:r w:rsidRPr="00575EEF">
        <w:rPr>
          <w:rFonts w:ascii="宋体" w:eastAsia="宋体" w:hAnsi="宋体" w:cs="宋体"/>
          <w:b/>
          <w:bCs/>
          <w:color w:val="FFA900"/>
          <w:spacing w:val="30"/>
          <w:sz w:val="27"/>
        </w:rPr>
        <w:t>生猪</w:t>
      </w:r>
    </w:p>
    <w:p w:rsidR="00575EEF" w:rsidRPr="00575EEF" w:rsidRDefault="00575EEF" w:rsidP="00575EEF">
      <w:pPr>
        <w:adjustRightInd/>
        <w:snapToGrid/>
        <w:spacing w:after="0"/>
        <w:rPr>
          <w:rFonts w:ascii="宋体" w:eastAsia="宋体" w:hAnsi="宋体" w:cs="宋体"/>
          <w:sz w:val="24"/>
          <w:szCs w:val="24"/>
        </w:rPr>
      </w:pPr>
      <w:r w:rsidRPr="00575EEF">
        <w:rPr>
          <w:rFonts w:ascii="宋体" w:eastAsia="宋体" w:hAnsi="宋体" w:cs="宋体" w:hint="eastAsia"/>
          <w:b/>
          <w:bCs/>
          <w:color w:val="000000"/>
          <w:sz w:val="26"/>
        </w:rPr>
        <w:t>屠企压价以失败告终 局地猪价再现报复性上涨</w:t>
      </w:r>
      <w:r w:rsidRPr="00575EEF">
        <w:rPr>
          <w:rFonts w:ascii="宋体" w:eastAsia="宋体" w:hAnsi="宋体" w:cs="宋体" w:hint="eastAsia"/>
          <w:color w:val="000000"/>
          <w:spacing w:val="15"/>
          <w:sz w:val="24"/>
          <w:szCs w:val="24"/>
          <w:shd w:val="clear" w:color="auto" w:fill="FFFFFF"/>
        </w:rPr>
        <w:t>本周猪价依旧为涨势。随着猪价的快速上涨，屠宰端销售和采购难度均有不同程度的增加，多地屠宰企业减量甚至停产，北方地区或已出现有价无市的现象。屠企开始减量压价策略后，局地养殖户出栏积极性有略微提升，形成短时抛售。预计生猪均价依旧会恢复强烈的上涨态势，但此时的上涨也许会伴随着小幅震荡一同出现。</w:t>
      </w:r>
    </w:p>
    <w:p w:rsidR="00575EEF" w:rsidRPr="00575EEF" w:rsidRDefault="00575EEF" w:rsidP="00575EEF">
      <w:pPr>
        <w:adjustRightInd/>
        <w:snapToGrid/>
        <w:spacing w:after="0" w:line="383" w:lineRule="atLeast"/>
        <w:jc w:val="both"/>
        <w:rPr>
          <w:rFonts w:ascii="宋体" w:eastAsia="宋体" w:hAnsi="宋体" w:cs="宋体"/>
          <w:sz w:val="24"/>
          <w:szCs w:val="24"/>
        </w:rPr>
      </w:pPr>
    </w:p>
    <w:p w:rsidR="00575EEF" w:rsidRPr="00575EEF" w:rsidRDefault="00575EEF" w:rsidP="00575EEF">
      <w:pPr>
        <w:adjustRightInd/>
        <w:snapToGrid/>
        <w:spacing w:after="0"/>
        <w:rPr>
          <w:rFonts w:ascii="宋体" w:eastAsia="宋体" w:hAnsi="宋体" w:cs="宋体"/>
          <w:sz w:val="24"/>
          <w:szCs w:val="24"/>
        </w:rPr>
      </w:pPr>
      <w:r w:rsidRPr="00575EEF">
        <w:rPr>
          <w:rFonts w:ascii="宋体" w:eastAsia="宋体" w:hAnsi="宋体" w:cs="宋体" w:hint="eastAsia"/>
          <w:b/>
          <w:bCs/>
          <w:color w:val="000000"/>
          <w:spacing w:val="23"/>
          <w:sz w:val="23"/>
        </w:rPr>
        <w:t>免责声明：本研究报告由金鹏经济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w:t>
      </w:r>
      <w:r w:rsidRPr="00575EEF">
        <w:rPr>
          <w:rFonts w:ascii="宋体" w:eastAsia="宋体" w:hAnsi="宋体" w:cs="宋体"/>
          <w:sz w:val="24"/>
          <w:szCs w:val="24"/>
        </w:rPr>
        <w:br/>
      </w:r>
    </w:p>
    <w:p w:rsidR="00575EEF" w:rsidRPr="00575EEF" w:rsidRDefault="00575EEF" w:rsidP="00575EEF">
      <w:pPr>
        <w:adjustRightInd/>
        <w:snapToGrid/>
        <w:spacing w:after="0"/>
        <w:jc w:val="center"/>
        <w:rPr>
          <w:rFonts w:ascii="宋体" w:eastAsia="宋体" w:hAnsi="宋体" w:cs="宋体"/>
          <w:sz w:val="24"/>
          <w:szCs w:val="24"/>
        </w:rPr>
      </w:pPr>
    </w:p>
    <w:p w:rsidR="00575EEF" w:rsidRPr="00575EEF" w:rsidRDefault="00575EEF" w:rsidP="00575EEF">
      <w:pPr>
        <w:adjustRightInd/>
        <w:snapToGrid/>
        <w:spacing w:after="0"/>
        <w:rPr>
          <w:rFonts w:ascii="宋体" w:eastAsia="宋体" w:hAnsi="宋体" w:cs="宋体"/>
          <w:sz w:val="24"/>
          <w:szCs w:val="24"/>
        </w:rPr>
      </w:pPr>
    </w:p>
    <w:p w:rsidR="00575EEF" w:rsidRPr="00575EEF" w:rsidRDefault="00575EEF" w:rsidP="00575EEF">
      <w:pPr>
        <w:adjustRightInd/>
        <w:snapToGrid/>
        <w:spacing w:after="0"/>
        <w:jc w:val="center"/>
        <w:rPr>
          <w:rFonts w:ascii="微软雅黑" w:hAnsi="微软雅黑" w:cs="宋体"/>
          <w:color w:val="333333"/>
          <w:sz w:val="26"/>
          <w:szCs w:val="26"/>
        </w:rPr>
      </w:pPr>
      <w:r>
        <w:rPr>
          <w:rFonts w:ascii="微软雅黑" w:hAnsi="微软雅黑" w:cs="宋体"/>
          <w:noProof/>
          <w:color w:val="333333"/>
          <w:sz w:val="26"/>
          <w:szCs w:val="26"/>
        </w:rPr>
        <w:lastRenderedPageBreak/>
        <w:drawing>
          <wp:inline distT="0" distB="0" distL="0" distR="0">
            <wp:extent cx="4886325" cy="3190875"/>
            <wp:effectExtent l="19050" t="0" r="9525" b="0"/>
            <wp:docPr id="5" name="图片 5" descr="https://mmbiz.qpic.cn/mmbiz_png/LBX4T1S9UVHKCribc8cprFXTM5sfdWGCWQF2iahOdeAK93HAJn6pQzib4bNicNKIHGq9KHxqx9ccOhMQaBVdbh4dH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LBX4T1S9UVHKCribc8cprFXTM5sfdWGCWQF2iahOdeAK93HAJn6pQzib4bNicNKIHGq9KHxqx9ccOhMQaBVdbh4dHA/640?wx_fmt=png"/>
                    <pic:cNvPicPr>
                      <a:picLocks noChangeAspect="1" noChangeArrowheads="1"/>
                    </pic:cNvPicPr>
                  </pic:nvPicPr>
                  <pic:blipFill>
                    <a:blip r:embed="rId4" cstate="print"/>
                    <a:srcRect/>
                    <a:stretch>
                      <a:fillRect/>
                    </a:stretch>
                  </pic:blipFill>
                  <pic:spPr bwMode="auto">
                    <a:xfrm>
                      <a:off x="0" y="0"/>
                      <a:ext cx="4886325" cy="3190875"/>
                    </a:xfrm>
                    <a:prstGeom prst="rect">
                      <a:avLst/>
                    </a:prstGeom>
                    <a:noFill/>
                    <a:ln w="9525">
                      <a:noFill/>
                      <a:miter lim="800000"/>
                      <a:headEnd/>
                      <a:tailEnd/>
                    </a:ln>
                  </pic:spPr>
                </pic:pic>
              </a:graphicData>
            </a:graphic>
          </wp:inline>
        </w:drawing>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035F6"/>
    <w:rsid w:val="00323B43"/>
    <w:rsid w:val="003D37D8"/>
    <w:rsid w:val="00426133"/>
    <w:rsid w:val="004358AB"/>
    <w:rsid w:val="00575EEF"/>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EE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75EEF"/>
    <w:rPr>
      <w:b/>
      <w:bCs/>
    </w:rPr>
  </w:style>
  <w:style w:type="paragraph" w:styleId="a5">
    <w:name w:val="Balloon Text"/>
    <w:basedOn w:val="a"/>
    <w:link w:val="Char"/>
    <w:uiPriority w:val="99"/>
    <w:semiHidden/>
    <w:unhideWhenUsed/>
    <w:rsid w:val="00575EEF"/>
    <w:pPr>
      <w:spacing w:after="0"/>
    </w:pPr>
    <w:rPr>
      <w:sz w:val="18"/>
      <w:szCs w:val="18"/>
    </w:rPr>
  </w:style>
  <w:style w:type="character" w:customStyle="1" w:styleId="Char">
    <w:name w:val="批注框文本 Char"/>
    <w:basedOn w:val="a0"/>
    <w:link w:val="a5"/>
    <w:uiPriority w:val="99"/>
    <w:semiHidden/>
    <w:rsid w:val="00575EE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3628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caoqi</cp:lastModifiedBy>
  <cp:revision>2</cp:revision>
  <dcterms:created xsi:type="dcterms:W3CDTF">2008-09-11T17:20:00Z</dcterms:created>
  <dcterms:modified xsi:type="dcterms:W3CDTF">2019-10-30T08:47:00Z</dcterms:modified>
</cp:coreProperties>
</file>