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7AA" w:rsidRPr="001517AA" w:rsidRDefault="001517AA" w:rsidP="001517AA">
      <w:pPr>
        <w:widowControl/>
        <w:spacing w:beforeLines="50" w:before="156" w:afterLines="50" w:after="156" w:line="360" w:lineRule="auto"/>
        <w:ind w:firstLineChars="200" w:firstLine="680"/>
        <w:jc w:val="center"/>
        <w:rPr>
          <w:rFonts w:ascii="微软雅黑" w:eastAsia="微软雅黑" w:hAnsi="微软雅黑" w:cs="宋体"/>
          <w:b/>
          <w:color w:val="000000" w:themeColor="text1"/>
          <w:spacing w:val="30"/>
          <w:kern w:val="0"/>
          <w:sz w:val="28"/>
          <w:szCs w:val="28"/>
        </w:rPr>
      </w:pPr>
      <w:r w:rsidRPr="001517AA">
        <w:rPr>
          <w:rFonts w:ascii="微软雅黑" w:eastAsia="微软雅黑" w:hAnsi="微软雅黑" w:cs="宋体" w:hint="eastAsia"/>
          <w:b/>
          <w:color w:val="000000" w:themeColor="text1"/>
          <w:spacing w:val="30"/>
          <w:kern w:val="0"/>
          <w:sz w:val="28"/>
          <w:szCs w:val="28"/>
        </w:rPr>
        <w:t>商品期权周度观点</w:t>
      </w:r>
    </w:p>
    <w:p w:rsidR="001517AA" w:rsidRPr="001517AA" w:rsidRDefault="001517AA" w:rsidP="001517AA">
      <w:pPr>
        <w:widowControl/>
        <w:spacing w:beforeLines="50" w:before="156" w:afterLines="50" w:after="156" w:line="360" w:lineRule="auto"/>
        <w:ind w:firstLineChars="200" w:firstLine="680"/>
        <w:jc w:val="center"/>
        <w:rPr>
          <w:rFonts w:ascii="微软雅黑" w:eastAsia="微软雅黑" w:hAnsi="微软雅黑" w:cs="宋体" w:hint="eastAsia"/>
          <w:b/>
          <w:color w:val="000000" w:themeColor="text1"/>
          <w:spacing w:val="30"/>
          <w:kern w:val="0"/>
          <w:sz w:val="28"/>
          <w:szCs w:val="28"/>
        </w:rPr>
      </w:pPr>
      <w:r w:rsidRPr="001517AA">
        <w:rPr>
          <w:rFonts w:ascii="微软雅黑" w:eastAsia="微软雅黑" w:hAnsi="微软雅黑" w:cs="宋体"/>
          <w:b/>
          <w:color w:val="000000" w:themeColor="text1"/>
          <w:spacing w:val="30"/>
          <w:kern w:val="0"/>
          <w:sz w:val="28"/>
          <w:szCs w:val="28"/>
        </w:rPr>
        <w:t>白糖期权</w:t>
      </w:r>
    </w:p>
    <w:p w:rsidR="001517AA" w:rsidRPr="001517AA" w:rsidRDefault="001517AA" w:rsidP="001517AA">
      <w:pPr>
        <w:widowControl/>
        <w:spacing w:beforeLines="50" w:before="156" w:afterLines="50" w:after="156" w:line="360" w:lineRule="auto"/>
        <w:rPr>
          <w:rFonts w:ascii="微软雅黑" w:eastAsia="微软雅黑" w:hAnsi="微软雅黑" w:cs="宋体"/>
          <w:b/>
          <w:bCs/>
          <w:color w:val="000000" w:themeColor="text1"/>
          <w:kern w:val="0"/>
          <w:sz w:val="28"/>
          <w:szCs w:val="28"/>
        </w:rPr>
      </w:pPr>
      <w:r w:rsidRPr="001517AA">
        <w:rPr>
          <w:rFonts w:ascii="微软雅黑" w:eastAsia="微软雅黑" w:hAnsi="微软雅黑" w:cs="宋体" w:hint="eastAsia"/>
          <w:b/>
          <w:bCs/>
          <w:color w:val="000000" w:themeColor="text1"/>
          <w:kern w:val="0"/>
          <w:sz w:val="28"/>
          <w:szCs w:val="28"/>
        </w:rPr>
        <w:t>一、标的上周走势回顾:</w:t>
      </w:r>
    </w:p>
    <w:p w:rsidR="001517AA" w:rsidRPr="001517AA" w:rsidRDefault="001517AA" w:rsidP="001517AA">
      <w:pPr>
        <w:widowControl/>
        <w:spacing w:beforeLines="50" w:before="156" w:afterLines="50" w:after="156" w:line="360" w:lineRule="auto"/>
        <w:ind w:firstLineChars="200" w:firstLine="560"/>
        <w:rPr>
          <w:rFonts w:ascii="微软雅黑" w:eastAsia="微软雅黑" w:hAnsi="微软雅黑" w:cs="宋体"/>
          <w:color w:val="000000" w:themeColor="text1"/>
          <w:kern w:val="0"/>
          <w:sz w:val="28"/>
          <w:szCs w:val="28"/>
        </w:rPr>
      </w:pPr>
      <w:r w:rsidRPr="001517AA">
        <w:rPr>
          <w:rFonts w:ascii="微软雅黑" w:eastAsia="微软雅黑" w:hAnsi="微软雅黑" w:cs="宋体" w:hint="eastAsia"/>
          <w:color w:val="000000" w:themeColor="text1"/>
          <w:kern w:val="0"/>
          <w:sz w:val="28"/>
          <w:szCs w:val="28"/>
        </w:rPr>
        <w:t>国内白糖主力合约SR2001上周开盘价5520，收盘价5706，上涨3.31%。周一郑糖延续小波动，但周二再次发力上涨，再次冲上5600，周三稍有调整后再次大涨，到周五已经突破5700，整体很强势。</w:t>
      </w:r>
    </w:p>
    <w:p w:rsidR="001517AA" w:rsidRPr="001517AA" w:rsidRDefault="001517AA" w:rsidP="001517AA">
      <w:pPr>
        <w:widowControl/>
        <w:spacing w:beforeLines="50" w:before="156" w:afterLines="50" w:after="156" w:line="360" w:lineRule="auto"/>
        <w:rPr>
          <w:rFonts w:ascii="微软雅黑" w:eastAsia="微软雅黑" w:hAnsi="微软雅黑" w:cs="宋体"/>
          <w:b/>
          <w:bCs/>
          <w:color w:val="000000" w:themeColor="text1"/>
          <w:kern w:val="0"/>
          <w:sz w:val="28"/>
          <w:szCs w:val="28"/>
        </w:rPr>
      </w:pPr>
      <w:r w:rsidRPr="001517AA">
        <w:rPr>
          <w:rFonts w:ascii="微软雅黑" w:eastAsia="微软雅黑" w:hAnsi="微软雅黑" w:cs="宋体" w:hint="eastAsia"/>
          <w:b/>
          <w:bCs/>
          <w:color w:val="000000" w:themeColor="text1"/>
          <w:kern w:val="0"/>
          <w:sz w:val="28"/>
          <w:szCs w:val="28"/>
        </w:rPr>
        <w:t>二、国际市场方面：</w:t>
      </w:r>
    </w:p>
    <w:p w:rsidR="001517AA" w:rsidRPr="001517AA" w:rsidRDefault="001517AA" w:rsidP="001517AA">
      <w:pPr>
        <w:widowControl/>
        <w:spacing w:beforeLines="50" w:before="156" w:afterLines="50" w:after="156" w:line="360" w:lineRule="auto"/>
        <w:ind w:firstLineChars="200" w:firstLine="560"/>
        <w:rPr>
          <w:rFonts w:ascii="微软雅黑" w:eastAsia="微软雅黑" w:hAnsi="微软雅黑" w:cs="宋体"/>
          <w:color w:val="000000" w:themeColor="text1"/>
          <w:kern w:val="0"/>
          <w:sz w:val="28"/>
          <w:szCs w:val="28"/>
        </w:rPr>
      </w:pPr>
      <w:r w:rsidRPr="001517AA">
        <w:rPr>
          <w:rFonts w:ascii="微软雅黑" w:eastAsia="微软雅黑" w:hAnsi="微软雅黑" w:cs="宋体" w:hint="eastAsia"/>
          <w:color w:val="000000" w:themeColor="text1"/>
          <w:kern w:val="0"/>
          <w:sz w:val="28"/>
          <w:szCs w:val="28"/>
        </w:rPr>
        <w:t>经纪公司INTL FCStone周四表示，由于印度天气情况不佳，预计印度2019/20榨季糖产量将降至2690万吨，较8月预估减少130万吨。FCStone表示，印度糖产量下降将促使2019/20榨季全球食糖供应缺口从此前预估的590万吨增3至770万吨。普氏能源咨询公司S&amp;P的分析师周三表示，预计巴西中南部2020/21榨季甘蔗产量略增，且糖产量可能小增。预计巴西中南部2020/21榨季甘蔗压榨量为5.9亿吨，略高于2019/20榨季的5.84亿吨，同比增加1.03%；同时预计糖产量将增至2700万吨，同比2019/20榨季的2579万吨增加4.7%；乙醇产量预计为303.1亿公升，而2019/20榨季为306.5亿公升。</w:t>
      </w:r>
    </w:p>
    <w:p w:rsidR="001517AA" w:rsidRPr="001517AA" w:rsidRDefault="001517AA" w:rsidP="001517AA">
      <w:pPr>
        <w:widowControl/>
        <w:spacing w:beforeLines="50" w:before="156" w:afterLines="50" w:after="156" w:line="360" w:lineRule="auto"/>
        <w:rPr>
          <w:rFonts w:ascii="微软雅黑" w:eastAsia="微软雅黑" w:hAnsi="微软雅黑" w:cs="宋体"/>
          <w:b/>
          <w:bCs/>
          <w:color w:val="000000" w:themeColor="text1"/>
          <w:kern w:val="0"/>
          <w:sz w:val="28"/>
          <w:szCs w:val="28"/>
        </w:rPr>
      </w:pPr>
      <w:r w:rsidRPr="001517AA">
        <w:rPr>
          <w:rFonts w:ascii="微软雅黑" w:eastAsia="微软雅黑" w:hAnsi="微软雅黑" w:cs="宋体" w:hint="eastAsia"/>
          <w:b/>
          <w:bCs/>
          <w:color w:val="000000" w:themeColor="text1"/>
          <w:kern w:val="0"/>
          <w:sz w:val="28"/>
          <w:szCs w:val="28"/>
        </w:rPr>
        <w:t>三、国内方面：</w:t>
      </w:r>
    </w:p>
    <w:p w:rsidR="001517AA" w:rsidRPr="001517AA" w:rsidRDefault="001517AA" w:rsidP="001517AA">
      <w:pPr>
        <w:widowControl/>
        <w:spacing w:beforeLines="50" w:before="156" w:afterLines="50" w:after="156" w:line="360" w:lineRule="auto"/>
        <w:ind w:firstLineChars="200" w:firstLine="560"/>
        <w:rPr>
          <w:rFonts w:ascii="微软雅黑" w:eastAsia="微软雅黑" w:hAnsi="微软雅黑" w:cs="宋体"/>
          <w:color w:val="000000" w:themeColor="text1"/>
          <w:kern w:val="0"/>
          <w:sz w:val="28"/>
          <w:szCs w:val="28"/>
        </w:rPr>
      </w:pPr>
      <w:r w:rsidRPr="001517AA">
        <w:rPr>
          <w:rFonts w:ascii="微软雅黑" w:eastAsia="微软雅黑" w:hAnsi="微软雅黑" w:cs="宋体" w:hint="eastAsia"/>
          <w:color w:val="000000" w:themeColor="text1"/>
          <w:kern w:val="0"/>
          <w:sz w:val="28"/>
          <w:szCs w:val="28"/>
        </w:rPr>
        <w:lastRenderedPageBreak/>
        <w:t>11月1日下午白糖冲上5700，主产区现货报价基本持稳。具体情况如下：广西：南宁中间商站台暂无报价；仓库报价6050-6080元/吨，报价不变，成交一般。南宁集团厂仓报价6050元/吨。柳州集团站台报价6050元/吨，报价不变，成交一般。来宾中间商仓库报价6050元/吨。云南：昆明中间商报价5920-6050元/吨；大理报价5880-5950元/吨；祥云报价5890-5950元/吨。云南集团昆明报价5920元/吨；大理报价5880元/吨。广东：湛江中间商报价6100-6150元/吨。新疆：乌鲁木齐中间商报价5630-5680元/吨。 </w:t>
      </w:r>
    </w:p>
    <w:p w:rsidR="001517AA" w:rsidRPr="001517AA" w:rsidRDefault="001517AA" w:rsidP="001517AA">
      <w:pPr>
        <w:widowControl/>
        <w:spacing w:beforeLines="50" w:before="156" w:afterLines="50" w:after="156" w:line="360" w:lineRule="auto"/>
        <w:rPr>
          <w:rFonts w:ascii="微软雅黑" w:eastAsia="微软雅黑" w:hAnsi="微软雅黑" w:cs="宋体"/>
          <w:b/>
          <w:bCs/>
          <w:color w:val="000000" w:themeColor="text1"/>
          <w:kern w:val="0"/>
          <w:sz w:val="28"/>
          <w:szCs w:val="28"/>
        </w:rPr>
      </w:pPr>
      <w:r w:rsidRPr="001517AA">
        <w:rPr>
          <w:rFonts w:ascii="微软雅黑" w:eastAsia="微软雅黑" w:hAnsi="微软雅黑" w:cs="宋体" w:hint="eastAsia"/>
          <w:b/>
          <w:bCs/>
          <w:color w:val="000000" w:themeColor="text1"/>
          <w:kern w:val="0"/>
          <w:sz w:val="28"/>
          <w:szCs w:val="28"/>
        </w:rPr>
        <w:t>四、下周预期：</w:t>
      </w:r>
    </w:p>
    <w:p w:rsidR="001517AA" w:rsidRDefault="001517AA" w:rsidP="001517AA">
      <w:pPr>
        <w:widowControl/>
        <w:spacing w:beforeLines="50" w:before="156" w:afterLines="50" w:after="156" w:line="360" w:lineRule="auto"/>
        <w:ind w:firstLineChars="200" w:firstLine="560"/>
        <w:rPr>
          <w:rFonts w:ascii="微软雅黑" w:eastAsia="微软雅黑" w:hAnsi="微软雅黑" w:cs="宋体"/>
          <w:color w:val="000000" w:themeColor="text1"/>
          <w:kern w:val="0"/>
          <w:sz w:val="28"/>
          <w:szCs w:val="28"/>
        </w:rPr>
      </w:pPr>
      <w:r w:rsidRPr="001517AA">
        <w:rPr>
          <w:rFonts w:ascii="微软雅黑" w:eastAsia="微软雅黑" w:hAnsi="微软雅黑" w:cs="宋体" w:hint="eastAsia"/>
          <w:color w:val="000000" w:themeColor="text1"/>
          <w:kern w:val="0"/>
          <w:sz w:val="28"/>
          <w:szCs w:val="28"/>
        </w:rPr>
        <w:t>上周郑糖大幅走高，直接突破5600，周五收盘顽强站在5700上，表现强势。国内现货价格继续持稳，成交一般。有消息称广西相关部门要求糖厂11月20日以后才能开榨，仅允许3家糖厂提前开榨，广西糖厂开榨推迟可能影响新糖压榨速度。预计本周郑糖涨势可能放缓。</w:t>
      </w:r>
    </w:p>
    <w:p w:rsidR="001517AA" w:rsidRDefault="001517AA" w:rsidP="001517AA">
      <w:pPr>
        <w:widowControl/>
        <w:spacing w:beforeLines="50" w:before="156" w:afterLines="50" w:after="156" w:line="360" w:lineRule="auto"/>
        <w:rPr>
          <w:rFonts w:ascii="微软雅黑" w:eastAsia="微软雅黑" w:hAnsi="微软雅黑" w:cs="宋体"/>
          <w:b/>
          <w:bCs/>
          <w:color w:val="000000" w:themeColor="text1"/>
          <w:kern w:val="0"/>
          <w:sz w:val="28"/>
          <w:szCs w:val="28"/>
        </w:rPr>
      </w:pPr>
      <w:r w:rsidRPr="001517AA">
        <w:rPr>
          <w:rFonts w:ascii="微软雅黑" w:eastAsia="微软雅黑" w:hAnsi="微软雅黑" w:cs="宋体" w:hint="eastAsia"/>
          <w:b/>
          <w:bCs/>
          <w:color w:val="000000" w:themeColor="text1"/>
          <w:kern w:val="0"/>
          <w:sz w:val="28"/>
          <w:szCs w:val="28"/>
        </w:rPr>
        <w:t>五、期权操作建议：</w:t>
      </w:r>
    </w:p>
    <w:p w:rsidR="001517AA" w:rsidRDefault="001517AA" w:rsidP="001517AA">
      <w:pPr>
        <w:widowControl/>
        <w:spacing w:beforeLines="50" w:before="156" w:afterLines="50" w:after="156" w:line="360" w:lineRule="auto"/>
        <w:rPr>
          <w:rFonts w:ascii="微软雅黑" w:eastAsia="微软雅黑" w:hAnsi="微软雅黑" w:cs="宋体"/>
          <w:color w:val="000000" w:themeColor="text1"/>
          <w:kern w:val="0"/>
          <w:sz w:val="28"/>
          <w:szCs w:val="28"/>
        </w:rPr>
      </w:pPr>
      <w:r w:rsidRPr="001517AA">
        <w:rPr>
          <w:rFonts w:ascii="微软雅黑" w:eastAsia="微软雅黑" w:hAnsi="微软雅黑" w:cs="宋体"/>
          <w:noProof/>
          <w:color w:val="000000" w:themeColor="text1"/>
          <w:kern w:val="0"/>
          <w:sz w:val="28"/>
          <w:szCs w:val="28"/>
        </w:rPr>
        <w:lastRenderedPageBreak/>
        <w:drawing>
          <wp:inline distT="0" distB="0" distL="0" distR="0" wp14:anchorId="175EB940" wp14:editId="27F57A2F">
            <wp:extent cx="5284382" cy="4656455"/>
            <wp:effectExtent l="0" t="0" r="0" b="0"/>
            <wp:docPr id="4" name="图片 4" descr="https://mmbiz.qpic.cn/mmbiz_jpg/LBX4T1S9UVFowpmI637sSm3oh3f7JfsjtUDRaT8Kt8vellgwofHFUQ7b9lcej15l3F3IOnTMFwBiabzB4icr2QIA/640?wx_fmt=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mbiz.qpic.cn/mmbiz_jpg/LBX4T1S9UVFowpmI637sSm3oh3f7JfsjtUDRaT8Kt8vellgwofHFUQ7b9lcej15l3F3IOnTMFwBiabzB4icr2QIA/640?wx_fmt=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0785" cy="4670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7AA" w:rsidRPr="001517AA" w:rsidRDefault="001517AA" w:rsidP="001517AA">
      <w:pPr>
        <w:widowControl/>
        <w:spacing w:beforeLines="50" w:before="156" w:afterLines="50" w:after="156" w:line="360" w:lineRule="auto"/>
        <w:ind w:firstLineChars="200" w:firstLine="560"/>
        <w:rPr>
          <w:rFonts w:ascii="微软雅黑" w:eastAsia="微软雅黑" w:hAnsi="微软雅黑" w:cs="宋体" w:hint="eastAsia"/>
          <w:color w:val="000000" w:themeColor="text1"/>
          <w:kern w:val="0"/>
          <w:sz w:val="28"/>
          <w:szCs w:val="28"/>
        </w:rPr>
      </w:pPr>
      <w:r w:rsidRPr="001517AA">
        <w:rPr>
          <w:rFonts w:ascii="微软雅黑" w:eastAsia="微软雅黑" w:hAnsi="微软雅黑" w:cs="宋体" w:hint="eastAsia"/>
          <w:color w:val="000000" w:themeColor="text1"/>
          <w:kern w:val="0"/>
          <w:sz w:val="28"/>
          <w:szCs w:val="28"/>
        </w:rPr>
        <w:t>上周郑糖大幅上涨，站上5700，波动较大。期权方面看跌端价格变化不大，看涨端合约价格在标的上涨带动下有所上涨，现在看6100C风险较大，有必要进行调整，看跌端5200P建议布局。</w:t>
      </w:r>
    </w:p>
    <w:p w:rsidR="001517AA" w:rsidRPr="001517AA" w:rsidRDefault="001517AA" w:rsidP="001517AA">
      <w:pPr>
        <w:widowControl/>
        <w:spacing w:beforeLines="50" w:before="156" w:afterLines="50" w:after="156" w:line="360" w:lineRule="auto"/>
        <w:ind w:firstLineChars="200" w:firstLine="680"/>
        <w:jc w:val="center"/>
        <w:rPr>
          <w:rFonts w:ascii="微软雅黑" w:eastAsia="微软雅黑" w:hAnsi="微软雅黑" w:cs="宋体" w:hint="eastAsia"/>
          <w:b/>
          <w:color w:val="000000" w:themeColor="text1"/>
          <w:spacing w:val="30"/>
          <w:kern w:val="0"/>
          <w:sz w:val="28"/>
          <w:szCs w:val="28"/>
        </w:rPr>
      </w:pPr>
      <w:r w:rsidRPr="001517AA">
        <w:rPr>
          <w:rFonts w:ascii="微软雅黑" w:eastAsia="微软雅黑" w:hAnsi="微软雅黑" w:cs="宋体"/>
          <w:b/>
          <w:color w:val="000000" w:themeColor="text1"/>
          <w:spacing w:val="30"/>
          <w:kern w:val="0"/>
          <w:sz w:val="28"/>
          <w:szCs w:val="28"/>
        </w:rPr>
        <w:t>豆粕期权</w:t>
      </w:r>
    </w:p>
    <w:p w:rsidR="001517AA" w:rsidRPr="001517AA" w:rsidRDefault="001517AA" w:rsidP="001517AA">
      <w:pPr>
        <w:widowControl/>
        <w:spacing w:beforeLines="50" w:before="156" w:afterLines="50" w:after="156" w:line="360" w:lineRule="auto"/>
        <w:rPr>
          <w:rFonts w:ascii="微软雅黑" w:eastAsia="微软雅黑" w:hAnsi="微软雅黑" w:cs="宋体"/>
          <w:b/>
          <w:bCs/>
          <w:color w:val="000000" w:themeColor="text1"/>
          <w:kern w:val="0"/>
          <w:sz w:val="28"/>
          <w:szCs w:val="28"/>
        </w:rPr>
      </w:pPr>
      <w:r w:rsidRPr="001517AA">
        <w:rPr>
          <w:rFonts w:ascii="微软雅黑" w:eastAsia="微软雅黑" w:hAnsi="微软雅黑" w:cs="宋体" w:hint="eastAsia"/>
          <w:b/>
          <w:bCs/>
          <w:color w:val="000000" w:themeColor="text1"/>
          <w:kern w:val="0"/>
          <w:sz w:val="28"/>
          <w:szCs w:val="28"/>
        </w:rPr>
        <w:t>一、标的上周走势回顾:</w:t>
      </w:r>
    </w:p>
    <w:p w:rsidR="001517AA" w:rsidRPr="001517AA" w:rsidRDefault="001517AA" w:rsidP="001517AA">
      <w:pPr>
        <w:widowControl/>
        <w:spacing w:beforeLines="50" w:before="156" w:afterLines="50" w:after="156" w:line="360" w:lineRule="auto"/>
        <w:ind w:firstLineChars="200" w:firstLine="560"/>
        <w:rPr>
          <w:rFonts w:ascii="微软雅黑" w:eastAsia="微软雅黑" w:hAnsi="微软雅黑" w:cs="宋体"/>
          <w:color w:val="000000" w:themeColor="text1"/>
          <w:kern w:val="0"/>
          <w:sz w:val="28"/>
          <w:szCs w:val="28"/>
        </w:rPr>
      </w:pPr>
      <w:r w:rsidRPr="001517AA">
        <w:rPr>
          <w:rFonts w:ascii="微软雅黑" w:eastAsia="微软雅黑" w:hAnsi="微软雅黑" w:cs="宋体" w:hint="eastAsia"/>
          <w:color w:val="000000" w:themeColor="text1"/>
          <w:kern w:val="0"/>
          <w:sz w:val="28"/>
          <w:szCs w:val="28"/>
        </w:rPr>
        <w:t>国内豆粕主力合约M2001上周开盘价3045，收盘价2968，单周下跌2.56%。上周一开始豆粕大幅下跌，直接跌破3000元，随后两天稍有缓和，缓慢回到3000元附近，但周四再次下挫。</w:t>
      </w:r>
    </w:p>
    <w:p w:rsidR="001517AA" w:rsidRPr="001517AA" w:rsidRDefault="001517AA" w:rsidP="001517AA">
      <w:pPr>
        <w:widowControl/>
        <w:spacing w:beforeLines="50" w:before="156" w:afterLines="50" w:after="156" w:line="360" w:lineRule="auto"/>
        <w:rPr>
          <w:rFonts w:ascii="微软雅黑" w:eastAsia="微软雅黑" w:hAnsi="微软雅黑" w:cs="宋体"/>
          <w:b/>
          <w:bCs/>
          <w:color w:val="000000" w:themeColor="text1"/>
          <w:kern w:val="0"/>
          <w:sz w:val="28"/>
          <w:szCs w:val="28"/>
        </w:rPr>
      </w:pPr>
      <w:r w:rsidRPr="001517AA">
        <w:rPr>
          <w:rFonts w:ascii="微软雅黑" w:eastAsia="微软雅黑" w:hAnsi="微软雅黑" w:cs="宋体" w:hint="eastAsia"/>
          <w:b/>
          <w:bCs/>
          <w:color w:val="000000" w:themeColor="text1"/>
          <w:kern w:val="0"/>
          <w:sz w:val="28"/>
          <w:szCs w:val="28"/>
        </w:rPr>
        <w:t>二、国际市场方面：</w:t>
      </w:r>
    </w:p>
    <w:p w:rsidR="001517AA" w:rsidRPr="001517AA" w:rsidRDefault="001517AA" w:rsidP="001517AA">
      <w:pPr>
        <w:widowControl/>
        <w:spacing w:beforeLines="50" w:before="156" w:afterLines="50" w:after="156" w:line="360" w:lineRule="auto"/>
        <w:ind w:firstLineChars="200" w:firstLine="560"/>
        <w:rPr>
          <w:rFonts w:ascii="微软雅黑" w:eastAsia="微软雅黑" w:hAnsi="微软雅黑" w:cs="宋体"/>
          <w:color w:val="000000" w:themeColor="text1"/>
          <w:kern w:val="0"/>
          <w:sz w:val="28"/>
          <w:szCs w:val="28"/>
        </w:rPr>
      </w:pPr>
      <w:r w:rsidRPr="001517AA">
        <w:rPr>
          <w:rFonts w:ascii="微软雅黑" w:eastAsia="微软雅黑" w:hAnsi="微软雅黑" w:cs="宋体" w:hint="eastAsia"/>
          <w:color w:val="000000" w:themeColor="text1"/>
          <w:kern w:val="0"/>
          <w:sz w:val="28"/>
          <w:szCs w:val="28"/>
        </w:rPr>
        <w:lastRenderedPageBreak/>
        <w:t>美国农业部（USDA）周四公布的出口销售报告显示，10月24日止当周，美国2019/2020年度大豆出口销售净增94.36万吨，符合市场预估的50-110万吨，较之前一周猛增99%，但较前四周均值减少39%。美国农业部将在周五美国时间下午2点发布2019年9月份的大豆压榨月度数据。一份调查显示，分析师们预计9月份大豆压榨量将达到485.4万吨，相当于1.618亿蒲式耳。如果预测成为现实，这将低于2019年8月份的大豆压榨量1.775亿蒲式耳，也低于2018年9月份的1.696亿蒲式耳。    南美方面，天气条件改善令巴西大豆播种进度加快，有机构称该国大豆种植率达到34%，虽较去年同期落后较多，但与历年均值相差不大，阿根廷也将陆续开启新季大豆播种。 </w:t>
      </w:r>
    </w:p>
    <w:p w:rsidR="001517AA" w:rsidRPr="001517AA" w:rsidRDefault="001517AA" w:rsidP="001517AA">
      <w:pPr>
        <w:widowControl/>
        <w:spacing w:beforeLines="50" w:before="156" w:afterLines="50" w:after="156" w:line="360" w:lineRule="auto"/>
        <w:rPr>
          <w:rFonts w:ascii="微软雅黑" w:eastAsia="微软雅黑" w:hAnsi="微软雅黑" w:cs="宋体"/>
          <w:b/>
          <w:bCs/>
          <w:color w:val="000000" w:themeColor="text1"/>
          <w:kern w:val="0"/>
          <w:sz w:val="28"/>
          <w:szCs w:val="28"/>
        </w:rPr>
      </w:pPr>
      <w:r w:rsidRPr="001517AA">
        <w:rPr>
          <w:rFonts w:ascii="微软雅黑" w:eastAsia="微软雅黑" w:hAnsi="微软雅黑" w:cs="宋体" w:hint="eastAsia"/>
          <w:b/>
          <w:bCs/>
          <w:color w:val="000000" w:themeColor="text1"/>
          <w:kern w:val="0"/>
          <w:sz w:val="28"/>
          <w:szCs w:val="28"/>
        </w:rPr>
        <w:t>三、国内方面：</w:t>
      </w:r>
    </w:p>
    <w:p w:rsidR="001517AA" w:rsidRPr="001517AA" w:rsidRDefault="001517AA" w:rsidP="001517AA">
      <w:pPr>
        <w:widowControl/>
        <w:spacing w:beforeLines="50" w:before="156" w:afterLines="50" w:after="156" w:line="360" w:lineRule="auto"/>
        <w:ind w:firstLineChars="200" w:firstLine="560"/>
        <w:rPr>
          <w:rFonts w:ascii="微软雅黑" w:eastAsia="微软雅黑" w:hAnsi="微软雅黑" w:cs="宋体"/>
          <w:color w:val="000000" w:themeColor="text1"/>
          <w:kern w:val="0"/>
          <w:sz w:val="28"/>
          <w:szCs w:val="28"/>
        </w:rPr>
      </w:pPr>
      <w:r w:rsidRPr="001517AA">
        <w:rPr>
          <w:rFonts w:ascii="微软雅黑" w:eastAsia="微软雅黑" w:hAnsi="微软雅黑" w:cs="宋体" w:hint="eastAsia"/>
          <w:color w:val="000000" w:themeColor="text1"/>
          <w:kern w:val="0"/>
          <w:sz w:val="28"/>
          <w:szCs w:val="28"/>
        </w:rPr>
        <w:t>上周五，国内豆粕行情继续下跌。其中，大连地区油厂豆粕价格：43%蛋白：4-9月基差2005+80。天津地区行情油厂豆粕价格：43%蛋白：4-9月基差2005+40。广东东莞地区油厂豆粕价格：43%蛋白：3010元。广西防城港外资地区油厂豆粕价格：43%蛋白：3020元/吨。连云港地区油厂豆粕价格：43%蛋白：3120元/吨。 </w:t>
      </w:r>
    </w:p>
    <w:p w:rsidR="001517AA" w:rsidRPr="001517AA" w:rsidRDefault="001517AA" w:rsidP="001517AA">
      <w:pPr>
        <w:widowControl/>
        <w:spacing w:beforeLines="50" w:before="156" w:afterLines="50" w:after="156" w:line="360" w:lineRule="auto"/>
        <w:rPr>
          <w:rFonts w:ascii="微软雅黑" w:eastAsia="微软雅黑" w:hAnsi="微软雅黑" w:cs="宋体"/>
          <w:b/>
          <w:bCs/>
          <w:color w:val="000000" w:themeColor="text1"/>
          <w:kern w:val="0"/>
          <w:sz w:val="28"/>
          <w:szCs w:val="28"/>
        </w:rPr>
      </w:pPr>
      <w:r w:rsidRPr="001517AA">
        <w:rPr>
          <w:rFonts w:ascii="微软雅黑" w:eastAsia="微软雅黑" w:hAnsi="微软雅黑" w:cs="宋体" w:hint="eastAsia"/>
          <w:b/>
          <w:bCs/>
          <w:color w:val="000000" w:themeColor="text1"/>
          <w:kern w:val="0"/>
          <w:sz w:val="28"/>
          <w:szCs w:val="28"/>
        </w:rPr>
        <w:t>四、下周预期：</w:t>
      </w:r>
    </w:p>
    <w:p w:rsidR="001517AA" w:rsidRPr="001517AA" w:rsidRDefault="001517AA" w:rsidP="001517AA">
      <w:pPr>
        <w:widowControl/>
        <w:spacing w:beforeLines="50" w:before="156" w:afterLines="50" w:after="156" w:line="360" w:lineRule="auto"/>
        <w:ind w:firstLineChars="200" w:firstLine="560"/>
        <w:rPr>
          <w:rFonts w:ascii="微软雅黑" w:eastAsia="微软雅黑" w:hAnsi="微软雅黑" w:cs="宋体"/>
          <w:color w:val="000000" w:themeColor="text1"/>
          <w:kern w:val="0"/>
          <w:sz w:val="28"/>
          <w:szCs w:val="28"/>
        </w:rPr>
      </w:pPr>
      <w:r w:rsidRPr="001517AA">
        <w:rPr>
          <w:rFonts w:ascii="微软雅黑" w:eastAsia="微软雅黑" w:hAnsi="微软雅黑" w:cs="宋体" w:hint="eastAsia"/>
          <w:color w:val="000000" w:themeColor="text1"/>
          <w:kern w:val="0"/>
          <w:sz w:val="28"/>
          <w:szCs w:val="28"/>
        </w:rPr>
        <w:t>中美双方继续推进双方经贸谈判，第一阶段贸易协议有望在11月达成。国内豆粕上周大幅走低，市场对中美达成贸易协议比较乐观，</w:t>
      </w:r>
      <w:r w:rsidRPr="001517AA">
        <w:rPr>
          <w:rFonts w:ascii="微软雅黑" w:eastAsia="微软雅黑" w:hAnsi="微软雅黑" w:cs="宋体" w:hint="eastAsia"/>
          <w:color w:val="000000" w:themeColor="text1"/>
          <w:kern w:val="0"/>
          <w:sz w:val="28"/>
          <w:szCs w:val="28"/>
        </w:rPr>
        <w:lastRenderedPageBreak/>
        <w:t>而国内生猪产能恢复时间可能长于预期，继续压制需求，预计本周豆粕可能仍有调整空间。</w:t>
      </w:r>
    </w:p>
    <w:p w:rsidR="001517AA" w:rsidRDefault="001517AA" w:rsidP="001517AA">
      <w:pPr>
        <w:widowControl/>
        <w:spacing w:beforeLines="50" w:before="156" w:afterLines="50" w:after="156" w:line="360" w:lineRule="auto"/>
        <w:rPr>
          <w:rFonts w:ascii="微软雅黑" w:eastAsia="微软雅黑" w:hAnsi="微软雅黑" w:cs="宋体"/>
          <w:b/>
          <w:bCs/>
          <w:color w:val="000000" w:themeColor="text1"/>
          <w:kern w:val="0"/>
          <w:sz w:val="28"/>
          <w:szCs w:val="28"/>
        </w:rPr>
      </w:pPr>
      <w:r w:rsidRPr="001517AA">
        <w:rPr>
          <w:rFonts w:ascii="微软雅黑" w:eastAsia="微软雅黑" w:hAnsi="微软雅黑" w:cs="宋体" w:hint="eastAsia"/>
          <w:b/>
          <w:bCs/>
          <w:color w:val="000000" w:themeColor="text1"/>
          <w:kern w:val="0"/>
          <w:sz w:val="28"/>
          <w:szCs w:val="28"/>
        </w:rPr>
        <w:t>五、期权操作建议：</w:t>
      </w:r>
    </w:p>
    <w:p w:rsidR="001517AA" w:rsidRDefault="001517AA" w:rsidP="001517AA">
      <w:pPr>
        <w:widowControl/>
        <w:spacing w:beforeLines="50" w:before="156" w:afterLines="50" w:after="156" w:line="360" w:lineRule="auto"/>
        <w:rPr>
          <w:rFonts w:ascii="微软雅黑" w:eastAsia="微软雅黑" w:hAnsi="微软雅黑" w:cs="宋体"/>
          <w:color w:val="000000" w:themeColor="text1"/>
          <w:kern w:val="0"/>
          <w:sz w:val="28"/>
          <w:szCs w:val="28"/>
        </w:rPr>
      </w:pPr>
      <w:r w:rsidRPr="001517AA">
        <w:rPr>
          <w:rFonts w:ascii="微软雅黑" w:eastAsia="微软雅黑" w:hAnsi="微软雅黑" w:cs="宋体"/>
          <w:noProof/>
          <w:color w:val="000000" w:themeColor="text1"/>
          <w:kern w:val="0"/>
          <w:sz w:val="28"/>
          <w:szCs w:val="28"/>
        </w:rPr>
        <w:drawing>
          <wp:inline distT="0" distB="0" distL="0" distR="0" wp14:anchorId="0F5D1DD1" wp14:editId="024D8C02">
            <wp:extent cx="5262104" cy="3125470"/>
            <wp:effectExtent l="0" t="0" r="0" b="0"/>
            <wp:docPr id="1" name="图片 1" descr="https://mmbiz.qpic.cn/mmbiz_jpg/LBX4T1S9UVFowpmI637sSm3oh3f7Jfsj0WU2QTGhsrMOahmErSGcGAVgRsEoJkEzkYldjFicYecaYP9tLEmPyhQ/640?wx_fmt=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mbiz.qpic.cn/mmbiz_jpg/LBX4T1S9UVFowpmI637sSm3oh3f7Jfsj0WU2QTGhsrMOahmErSGcGAVgRsEoJkEzkYldjFicYecaYP9tLEmPyhQ/640?wx_fmt=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7781" cy="3134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7AA" w:rsidRDefault="001517AA" w:rsidP="001517AA">
      <w:pPr>
        <w:widowControl/>
        <w:spacing w:beforeLines="50" w:before="156" w:afterLines="50" w:after="156" w:line="360" w:lineRule="auto"/>
        <w:ind w:firstLineChars="200" w:firstLine="560"/>
        <w:rPr>
          <w:rFonts w:ascii="微软雅黑" w:eastAsia="微软雅黑" w:hAnsi="微软雅黑" w:cs="宋体"/>
          <w:color w:val="000000" w:themeColor="text1"/>
          <w:kern w:val="0"/>
          <w:sz w:val="28"/>
          <w:szCs w:val="28"/>
        </w:rPr>
      </w:pPr>
      <w:r w:rsidRPr="001517AA">
        <w:rPr>
          <w:rFonts w:ascii="微软雅黑" w:eastAsia="微软雅黑" w:hAnsi="微软雅黑" w:cs="宋体" w:hint="eastAsia"/>
          <w:color w:val="000000" w:themeColor="text1"/>
          <w:kern w:val="0"/>
          <w:sz w:val="28"/>
          <w:szCs w:val="28"/>
        </w:rPr>
        <w:t>上周豆粕大幅下跌，波动较大。期权方面，看跌端价格有所上涨，看涨端合约价格有所下跌，但幅度并不太大，标的这波调整使得两端权利金稍有平衡，但看涨端价格仍然偏高，可以适当增加3250C的量，但不宜过大。</w:t>
      </w:r>
    </w:p>
    <w:p w:rsidR="001517AA" w:rsidRPr="001517AA" w:rsidRDefault="001517AA" w:rsidP="001517AA">
      <w:pPr>
        <w:widowControl/>
        <w:spacing w:beforeLines="50" w:before="156" w:afterLines="50" w:after="156" w:line="360" w:lineRule="auto"/>
        <w:rPr>
          <w:rFonts w:ascii="微软雅黑" w:eastAsia="微软雅黑" w:hAnsi="微软雅黑" w:cs="宋体" w:hint="eastAsia"/>
          <w:color w:val="000000" w:themeColor="text1"/>
          <w:kern w:val="0"/>
          <w:sz w:val="28"/>
          <w:szCs w:val="28"/>
        </w:rPr>
      </w:pPr>
      <w:bookmarkStart w:id="0" w:name="_GoBack"/>
      <w:bookmarkEnd w:id="0"/>
    </w:p>
    <w:p w:rsidR="006A4AA8" w:rsidRPr="001517AA" w:rsidRDefault="001517AA" w:rsidP="001517AA">
      <w:pPr>
        <w:spacing w:beforeLines="50" w:before="156" w:afterLines="50" w:after="156" w:line="360" w:lineRule="auto"/>
        <w:rPr>
          <w:rFonts w:ascii="微软雅黑" w:eastAsia="微软雅黑" w:hAnsi="微软雅黑" w:hint="eastAsia"/>
          <w:color w:val="000000" w:themeColor="text1"/>
          <w:sz w:val="24"/>
          <w:szCs w:val="24"/>
        </w:rPr>
      </w:pPr>
      <w:r w:rsidRPr="001517AA">
        <w:rPr>
          <w:rFonts w:ascii="微软雅黑" w:eastAsia="微软雅黑" w:hAnsi="微软雅黑" w:cs="宋体" w:hint="eastAsia"/>
          <w:b/>
          <w:bCs/>
          <w:color w:val="000000" w:themeColor="text1"/>
          <w:kern w:val="0"/>
          <w:sz w:val="24"/>
          <w:szCs w:val="24"/>
        </w:rPr>
        <w:t>免责声明：本研究报告由金鹏经济研究所提供，其中观点仅代表分析师个人观点，出现的价位及操作建议仅体现分析师个人分析思路，分析师力求报告内容所述信息的可靠、准确及完整，但不保证报告所述信息及结论的准确性。本报告所提出的观点、结论和建议仅供投资者参考，不能当然作为投资研究决策的依据，也不能成为本公司承担明示或暗示的道义或法律责任的依据。</w:t>
      </w:r>
    </w:p>
    <w:sectPr w:rsidR="006A4AA8" w:rsidRPr="001517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D10"/>
    <w:rsid w:val="001517AA"/>
    <w:rsid w:val="00514D10"/>
    <w:rsid w:val="006A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5F51EF-82E0-4C9A-825E-2C89E7E9E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17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517AA"/>
    <w:rPr>
      <w:b/>
      <w:bCs/>
    </w:rPr>
  </w:style>
  <w:style w:type="paragraph" w:styleId="a5">
    <w:name w:val="List Paragraph"/>
    <w:basedOn w:val="a"/>
    <w:uiPriority w:val="34"/>
    <w:qFormat/>
    <w:rsid w:val="001517A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1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jifco</dc:creator>
  <cp:keywords/>
  <dc:description/>
  <cp:lastModifiedBy>jifco</cp:lastModifiedBy>
  <cp:revision>2</cp:revision>
  <dcterms:created xsi:type="dcterms:W3CDTF">2019-11-04T07:52:00Z</dcterms:created>
  <dcterms:modified xsi:type="dcterms:W3CDTF">2019-11-04T08:00:00Z</dcterms:modified>
</cp:coreProperties>
</file>