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06" w:rsidRPr="005C17EB" w:rsidRDefault="0090171E" w:rsidP="005C17EB">
      <w:pPr>
        <w:shd w:val="clear" w:color="auto" w:fill="FFFFFF"/>
        <w:spacing w:beforeLines="50" w:before="156" w:after="120" w:line="360" w:lineRule="auto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bookmarkStart w:id="0" w:name="_GoBack"/>
      <w:r w:rsidRPr="005C17EB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短期偏强震荡，节前注意控制仓位</w:t>
      </w:r>
    </w:p>
    <w:p w:rsidR="0090171E" w:rsidRPr="005C17EB" w:rsidRDefault="00891887" w:rsidP="005C17EB">
      <w:pPr>
        <w:shd w:val="clear" w:color="auto" w:fill="FFFFFF"/>
        <w:spacing w:beforeLines="50" w:before="156" w:after="120" w:line="360" w:lineRule="auto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    原材料产区方面，近期国内主产区基本进入停割期。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泰国地区近期降雨减少，</w:t>
      </w: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未来一段时间将从旺产季逐步过渡到停割季，近期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关注天气</w:t>
      </w: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可能出现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干旱，</w:t>
      </w: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或许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给市场多头</w:t>
      </w: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带来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炒作</w:t>
      </w: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因素。目前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上游原料价格小幅上涨，加工厂</w:t>
      </w: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积极性较高，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生产利润良好</w:t>
      </w: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，短期供应相对宽松。春节临近，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下游轮胎厂小年之后逐步放假，</w:t>
      </w: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年前轮胎厂采购原料将逐步缩减，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现货贸易偏淡。</w:t>
      </w:r>
    </w:p>
    <w:p w:rsidR="00D61702" w:rsidRPr="005C17EB" w:rsidRDefault="0090171E" w:rsidP="005C17EB">
      <w:pPr>
        <w:shd w:val="clear" w:color="auto" w:fill="FFFFFF"/>
        <w:spacing w:beforeLines="50" w:before="156" w:after="120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   </w:t>
      </w:r>
      <w:r w:rsidR="00891887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 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2020 年</w:t>
      </w:r>
      <w:r w:rsidR="00891887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第一季度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，行情可能还会受到 2019 年天气、病害</w:t>
      </w:r>
      <w:r w:rsidR="00891887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，及东南亚主产国限产保价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等</w:t>
      </w:r>
      <w:r w:rsidR="00891887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多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因素作用，价格</w:t>
      </w:r>
      <w:r w:rsidR="00891887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可能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会</w:t>
      </w:r>
      <w:r w:rsidR="00891887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继续保持上行到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相对高点。</w:t>
      </w: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但由于近两年是产能释放高峰期，只要价格继续上行，产能将会很快释放。随着2020年新的开割季的开始，价格将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会再次</w:t>
      </w: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回落到相对低位</w:t>
      </w:r>
      <w:r w:rsidR="00C9675D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90171E" w:rsidRPr="005C17EB" w:rsidRDefault="0090171E" w:rsidP="005C17EB">
      <w:pPr>
        <w:shd w:val="clear" w:color="auto" w:fill="FFFFFF"/>
        <w:spacing w:beforeLines="50" w:before="156" w:after="120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关于国三及以下排放标准柴油货车的淘汰更新，国务院有明确目标要求，2020年底将是这100万辆国三及以下排放柴油货车淘汰更新的截止日期。由于18年底统计时仍有85%的重卡是国三标准，因而2020年前替换新车的需求不断发酵下重卡市场仍维持较好的预期，这提振了国内轮胎的配套需求。但随着公转铁、公转水等政策推进以及新一轮治超治限的影响，轮胎配套需求长期的预期依然不算太强。很难在市场上激起太大的水花。 </w:t>
      </w:r>
    </w:p>
    <w:p w:rsidR="00D23504" w:rsidRPr="005C17EB" w:rsidRDefault="00EC1DDB" w:rsidP="005C17EB">
      <w:pPr>
        <w:shd w:val="clear" w:color="auto" w:fill="FFFFFF"/>
        <w:spacing w:beforeLines="50" w:before="156" w:after="120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C17EB">
        <w:rPr>
          <w:rFonts w:ascii="微软雅黑" w:eastAsia="微软雅黑" w:hAnsi="微软雅黑"/>
          <w:color w:val="000000" w:themeColor="text1"/>
          <w:sz w:val="28"/>
          <w:szCs w:val="28"/>
        </w:rPr>
        <w:t>库存方面</w:t>
      </w:r>
      <w:r w:rsidR="005C17EB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:</w:t>
      </w:r>
      <w:r w:rsidR="00D23504" w:rsidRPr="005C17EB">
        <w:rPr>
          <w:rFonts w:ascii="微软雅黑" w:eastAsia="微软雅黑" w:hAnsi="微软雅黑"/>
          <w:color w:val="000000" w:themeColor="text1"/>
          <w:sz w:val="28"/>
          <w:szCs w:val="28"/>
        </w:rPr>
        <w:t>截止20</w:t>
      </w:r>
      <w:r w:rsidR="005653C6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20</w:t>
      </w:r>
      <w:r w:rsidR="00D23504" w:rsidRPr="005C17EB">
        <w:rPr>
          <w:rFonts w:ascii="微软雅黑" w:eastAsia="微软雅黑" w:hAnsi="微软雅黑"/>
          <w:color w:val="000000" w:themeColor="text1"/>
          <w:sz w:val="28"/>
          <w:szCs w:val="28"/>
        </w:rPr>
        <w:t>年</w:t>
      </w:r>
      <w:r w:rsidR="005653C6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01</w:t>
      </w:r>
      <w:r w:rsidR="00D23504" w:rsidRPr="005C17EB">
        <w:rPr>
          <w:rFonts w:ascii="微软雅黑" w:eastAsia="微软雅黑" w:hAnsi="微软雅黑"/>
          <w:color w:val="000000" w:themeColor="text1"/>
          <w:sz w:val="28"/>
          <w:szCs w:val="28"/>
        </w:rPr>
        <w:t>月</w:t>
      </w:r>
      <w:r w:rsidR="003A15DC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10</w:t>
      </w:r>
      <w:r w:rsidR="00D23504" w:rsidRPr="005C17EB">
        <w:rPr>
          <w:rFonts w:ascii="微软雅黑" w:eastAsia="微软雅黑" w:hAnsi="微软雅黑"/>
          <w:color w:val="000000" w:themeColor="text1"/>
          <w:sz w:val="28"/>
          <w:szCs w:val="28"/>
        </w:rPr>
        <w:t>日，上期所天然橡胶库存</w:t>
      </w:r>
      <w:r w:rsidR="003A15DC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252542</w:t>
      </w:r>
      <w:r w:rsidR="00D23504" w:rsidRPr="005C17EB">
        <w:rPr>
          <w:rFonts w:ascii="微软雅黑" w:eastAsia="微软雅黑" w:hAnsi="微软雅黑"/>
          <w:color w:val="000000" w:themeColor="text1"/>
          <w:sz w:val="28"/>
          <w:szCs w:val="28"/>
        </w:rPr>
        <w:t>（</w:t>
      </w:r>
      <w:r w:rsidR="003A15DC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1978</w:t>
      </w:r>
      <w:r w:rsidR="00D23504" w:rsidRPr="005C17EB">
        <w:rPr>
          <w:rFonts w:ascii="微软雅黑" w:eastAsia="微软雅黑" w:hAnsi="微软雅黑"/>
          <w:color w:val="000000" w:themeColor="text1"/>
          <w:sz w:val="28"/>
          <w:szCs w:val="28"/>
        </w:rPr>
        <w:t>）吨，仓单</w:t>
      </w:r>
      <w:r w:rsidR="003A15DC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234750</w:t>
      </w:r>
      <w:r w:rsidR="00D23504" w:rsidRPr="005C17EB">
        <w:rPr>
          <w:rFonts w:ascii="微软雅黑" w:eastAsia="微软雅黑" w:hAnsi="微软雅黑"/>
          <w:color w:val="000000" w:themeColor="text1"/>
          <w:sz w:val="28"/>
          <w:szCs w:val="28"/>
        </w:rPr>
        <w:t>（</w:t>
      </w:r>
      <w:r w:rsidR="003A15DC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5700</w:t>
      </w:r>
      <w:r w:rsidR="00D23504" w:rsidRPr="005C17EB">
        <w:rPr>
          <w:rFonts w:ascii="微软雅黑" w:eastAsia="微软雅黑" w:hAnsi="微软雅黑"/>
          <w:color w:val="000000" w:themeColor="text1"/>
          <w:sz w:val="28"/>
          <w:szCs w:val="28"/>
        </w:rPr>
        <w:t>）吨。</w:t>
      </w:r>
      <w:r w:rsidR="003946C9" w:rsidRPr="005C17EB">
        <w:rPr>
          <w:rFonts w:ascii="微软雅黑" w:eastAsia="微软雅黑" w:hAnsi="微软雅黑"/>
          <w:color w:val="000000" w:themeColor="text1"/>
          <w:sz w:val="28"/>
          <w:szCs w:val="28"/>
        </w:rPr>
        <w:t xml:space="preserve"> </w:t>
      </w:r>
      <w:r w:rsidR="00C51014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自11月29日大</w:t>
      </w:r>
      <w:r w:rsidR="00C51014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lastRenderedPageBreak/>
        <w:t>量老仓单和库存出库后,由于今年的需求相对偏弱，且年关临近，补库一直处于缓慢增长状态</w:t>
      </w:r>
      <w:r w:rsidR="003A15DC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,并未出现往年快速补仓步库情况</w:t>
      </w:r>
      <w:r w:rsidR="00C51014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E15BE2" w:rsidRDefault="008C1EFF" w:rsidP="005C17EB">
      <w:pPr>
        <w:shd w:val="clear" w:color="auto" w:fill="FFFFFF"/>
        <w:spacing w:beforeLines="50" w:before="156" w:after="120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操作</w:t>
      </w:r>
      <w:r w:rsidRPr="005C17EB">
        <w:rPr>
          <w:rFonts w:ascii="微软雅黑" w:eastAsia="微软雅黑" w:hAnsi="微软雅黑"/>
          <w:color w:val="000000" w:themeColor="text1"/>
          <w:sz w:val="28"/>
          <w:szCs w:val="28"/>
        </w:rPr>
        <w:t>建议</w:t>
      </w:r>
      <w:r w:rsidR="009467C5" w:rsidRPr="005C17EB">
        <w:rPr>
          <w:rFonts w:ascii="微软雅黑" w:eastAsia="微软雅黑" w:hAnsi="微软雅黑"/>
          <w:color w:val="000000" w:themeColor="text1"/>
          <w:sz w:val="28"/>
          <w:szCs w:val="28"/>
        </w:rPr>
        <w:t>：</w:t>
      </w:r>
      <w:r w:rsidR="00C51014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近期橡胶</w:t>
      </w:r>
      <w:r w:rsidR="0090171E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期货</w:t>
      </w:r>
      <w:r w:rsidR="00470FAA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价格</w:t>
      </w:r>
      <w:r w:rsidR="00C51014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波动</w:t>
      </w:r>
      <w:r w:rsidR="00470FAA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幅度较宽</w:t>
      </w:r>
      <w:r w:rsidR="00C51014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="0090171E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基本上是进三步，退两步。总体价格区间不断走高，底部逐步抬升的态势。 </w:t>
      </w:r>
      <w:r w:rsidR="00C51014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按往年走势来看，</w:t>
      </w:r>
      <w:r w:rsidR="00C225BF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橡胶一二月份由于停割和天气影响的不确定因素，上行的概率偏高。</w:t>
      </w: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主力合约</w:t>
      </w:r>
      <w:r w:rsidR="009C4A16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下周</w:t>
      </w:r>
      <w:r w:rsidRPr="005C17EB">
        <w:rPr>
          <w:rFonts w:ascii="微软雅黑" w:eastAsia="微软雅黑" w:hAnsi="微软雅黑"/>
          <w:color w:val="000000" w:themeColor="text1"/>
          <w:sz w:val="28"/>
          <w:szCs w:val="28"/>
        </w:rPr>
        <w:t>关注</w:t>
      </w:r>
      <w:r w:rsidR="00C225BF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12</w:t>
      </w:r>
      <w:r w:rsidR="0090171E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8</w:t>
      </w:r>
      <w:r w:rsidR="00C225BF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00</w:t>
      </w: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-1</w:t>
      </w:r>
      <w:r w:rsidR="00EC3648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3</w:t>
      </w:r>
      <w:r w:rsidR="0090171E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6</w:t>
      </w:r>
      <w:r w:rsidR="00EC3648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0</w:t>
      </w: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0</w:t>
      </w:r>
      <w:r w:rsidR="00C225BF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波动</w:t>
      </w:r>
      <w:r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区间。</w:t>
      </w:r>
      <w:r w:rsidR="00C225BF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可选择逢低</w:t>
      </w:r>
      <w:r w:rsidR="00657AF4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企稳</w:t>
      </w:r>
      <w:r w:rsidR="00C225BF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试多，</w:t>
      </w:r>
      <w:r w:rsidR="00657AF4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逢高震荡止盈，</w:t>
      </w:r>
      <w:r w:rsidR="00C225BF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采取高抛低吸策略，</w:t>
      </w:r>
      <w:r w:rsidR="00657AF4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总体</w:t>
      </w:r>
      <w:r w:rsidR="00C225BF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按多头思路操作</w:t>
      </w:r>
      <w:r w:rsidR="0090171E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。另外，春节临近，交易相对收缩，需</w:t>
      </w:r>
      <w:r w:rsidR="00E15BE2" w:rsidRPr="005C17EB">
        <w:rPr>
          <w:rFonts w:ascii="微软雅黑" w:eastAsia="微软雅黑" w:hAnsi="微软雅黑" w:hint="eastAsia"/>
          <w:color w:val="000000" w:themeColor="text1"/>
          <w:sz w:val="28"/>
          <w:szCs w:val="28"/>
        </w:rPr>
        <w:t>注意控制风险。</w:t>
      </w:r>
      <w:bookmarkEnd w:id="0"/>
    </w:p>
    <w:p w:rsidR="005C17EB" w:rsidRPr="005C17EB" w:rsidRDefault="005C17EB" w:rsidP="005C17EB">
      <w:pPr>
        <w:shd w:val="clear" w:color="auto" w:fill="FFFFFF"/>
        <w:spacing w:beforeLines="50" w:before="156" w:after="120" w:line="360" w:lineRule="auto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>
        <w:br/>
      </w:r>
      <w:r>
        <w:rPr>
          <w:rFonts w:ascii="微软雅黑" w:eastAsia="微软雅黑" w:hAnsi="微软雅黑" w:hint="eastAsia"/>
          <w:b/>
          <w:bCs/>
          <w:color w:val="000000"/>
          <w:spacing w:val="8"/>
          <w:sz w:val="23"/>
          <w:szCs w:val="23"/>
          <w:shd w:val="clear" w:color="auto" w:fill="FFFFFF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sectPr w:rsidR="005C17EB" w:rsidRPr="005C17EB" w:rsidSect="00514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5B" w:rsidRDefault="005D025B" w:rsidP="003C3473">
      <w:r>
        <w:separator/>
      </w:r>
    </w:p>
  </w:endnote>
  <w:endnote w:type="continuationSeparator" w:id="0">
    <w:p w:rsidR="005D025B" w:rsidRDefault="005D025B" w:rsidP="003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5B" w:rsidRDefault="005D025B" w:rsidP="003C3473">
      <w:r>
        <w:separator/>
      </w:r>
    </w:p>
  </w:footnote>
  <w:footnote w:type="continuationSeparator" w:id="0">
    <w:p w:rsidR="005D025B" w:rsidRDefault="005D025B" w:rsidP="003C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4C95"/>
    <w:multiLevelType w:val="hybridMultilevel"/>
    <w:tmpl w:val="3E0003D0"/>
    <w:lvl w:ilvl="0" w:tplc="8B68B6AE">
      <w:start w:val="1"/>
      <w:numFmt w:val="decimal"/>
      <w:lvlText w:val="%1."/>
      <w:lvlJc w:val="left"/>
      <w:pPr>
        <w:ind w:left="1155" w:hanging="73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56A56FF"/>
    <w:multiLevelType w:val="hybridMultilevel"/>
    <w:tmpl w:val="23C22FB0"/>
    <w:lvl w:ilvl="0" w:tplc="453C75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73F"/>
    <w:rsid w:val="00003220"/>
    <w:rsid w:val="00013626"/>
    <w:rsid w:val="0003247F"/>
    <w:rsid w:val="00033DF4"/>
    <w:rsid w:val="00034117"/>
    <w:rsid w:val="000415DE"/>
    <w:rsid w:val="00055660"/>
    <w:rsid w:val="00061395"/>
    <w:rsid w:val="00070812"/>
    <w:rsid w:val="000763D4"/>
    <w:rsid w:val="00085F35"/>
    <w:rsid w:val="000B31E6"/>
    <w:rsid w:val="000B58A9"/>
    <w:rsid w:val="000C7C5F"/>
    <w:rsid w:val="000D5970"/>
    <w:rsid w:val="000E0CC2"/>
    <w:rsid w:val="00106587"/>
    <w:rsid w:val="00120C14"/>
    <w:rsid w:val="00132794"/>
    <w:rsid w:val="00162268"/>
    <w:rsid w:val="001B06E4"/>
    <w:rsid w:val="001C3FC2"/>
    <w:rsid w:val="001D2CB5"/>
    <w:rsid w:val="001D7547"/>
    <w:rsid w:val="001F145D"/>
    <w:rsid w:val="00206F7D"/>
    <w:rsid w:val="0021405E"/>
    <w:rsid w:val="00223911"/>
    <w:rsid w:val="002274C2"/>
    <w:rsid w:val="00241AA0"/>
    <w:rsid w:val="0024340C"/>
    <w:rsid w:val="00292FCF"/>
    <w:rsid w:val="002A12AB"/>
    <w:rsid w:val="002A4C4A"/>
    <w:rsid w:val="002B2F80"/>
    <w:rsid w:val="002C3C95"/>
    <w:rsid w:val="002C7810"/>
    <w:rsid w:val="002D0A1C"/>
    <w:rsid w:val="002D73C8"/>
    <w:rsid w:val="002E29EA"/>
    <w:rsid w:val="002E47D3"/>
    <w:rsid w:val="00312789"/>
    <w:rsid w:val="003227F3"/>
    <w:rsid w:val="003261E2"/>
    <w:rsid w:val="00340ADD"/>
    <w:rsid w:val="003418E8"/>
    <w:rsid w:val="00353154"/>
    <w:rsid w:val="003565AE"/>
    <w:rsid w:val="003730B6"/>
    <w:rsid w:val="0038541D"/>
    <w:rsid w:val="003946C9"/>
    <w:rsid w:val="003A15DC"/>
    <w:rsid w:val="003C0A05"/>
    <w:rsid w:val="003C3473"/>
    <w:rsid w:val="003C6ACE"/>
    <w:rsid w:val="003D2EFE"/>
    <w:rsid w:val="003E7FEC"/>
    <w:rsid w:val="00416C30"/>
    <w:rsid w:val="00440135"/>
    <w:rsid w:val="00463E2B"/>
    <w:rsid w:val="00470FAA"/>
    <w:rsid w:val="004757AC"/>
    <w:rsid w:val="004908FE"/>
    <w:rsid w:val="004A2412"/>
    <w:rsid w:val="004C65E3"/>
    <w:rsid w:val="004F3D84"/>
    <w:rsid w:val="00506FF4"/>
    <w:rsid w:val="0051245C"/>
    <w:rsid w:val="00514963"/>
    <w:rsid w:val="00516A21"/>
    <w:rsid w:val="00531873"/>
    <w:rsid w:val="0055047E"/>
    <w:rsid w:val="005527E7"/>
    <w:rsid w:val="005653C6"/>
    <w:rsid w:val="00570D26"/>
    <w:rsid w:val="00571A06"/>
    <w:rsid w:val="00580931"/>
    <w:rsid w:val="00594EBA"/>
    <w:rsid w:val="005A34A2"/>
    <w:rsid w:val="005B0339"/>
    <w:rsid w:val="005B67AB"/>
    <w:rsid w:val="005B78D2"/>
    <w:rsid w:val="005C17EB"/>
    <w:rsid w:val="005C67A9"/>
    <w:rsid w:val="005D025B"/>
    <w:rsid w:val="005D11B5"/>
    <w:rsid w:val="005E399A"/>
    <w:rsid w:val="005F1A1E"/>
    <w:rsid w:val="005F78E8"/>
    <w:rsid w:val="00630555"/>
    <w:rsid w:val="006407AE"/>
    <w:rsid w:val="0064238B"/>
    <w:rsid w:val="00657AF4"/>
    <w:rsid w:val="00673B26"/>
    <w:rsid w:val="0067513F"/>
    <w:rsid w:val="00690617"/>
    <w:rsid w:val="006E0578"/>
    <w:rsid w:val="006F5E00"/>
    <w:rsid w:val="006F6440"/>
    <w:rsid w:val="006F7EF3"/>
    <w:rsid w:val="00733D24"/>
    <w:rsid w:val="00743C50"/>
    <w:rsid w:val="00746ACC"/>
    <w:rsid w:val="0076428D"/>
    <w:rsid w:val="00767E42"/>
    <w:rsid w:val="007A420B"/>
    <w:rsid w:val="007C2A77"/>
    <w:rsid w:val="007D348A"/>
    <w:rsid w:val="007F0857"/>
    <w:rsid w:val="008151C3"/>
    <w:rsid w:val="00846B41"/>
    <w:rsid w:val="00852E2E"/>
    <w:rsid w:val="00865C39"/>
    <w:rsid w:val="00872CE1"/>
    <w:rsid w:val="00875E3D"/>
    <w:rsid w:val="00877D52"/>
    <w:rsid w:val="00891887"/>
    <w:rsid w:val="008C1EFF"/>
    <w:rsid w:val="008D0349"/>
    <w:rsid w:val="008D559F"/>
    <w:rsid w:val="008E283D"/>
    <w:rsid w:val="008E30D5"/>
    <w:rsid w:val="0090171E"/>
    <w:rsid w:val="0090273F"/>
    <w:rsid w:val="00905C0A"/>
    <w:rsid w:val="00915A8D"/>
    <w:rsid w:val="009277C0"/>
    <w:rsid w:val="00930C50"/>
    <w:rsid w:val="009467C5"/>
    <w:rsid w:val="00961FDE"/>
    <w:rsid w:val="009822F9"/>
    <w:rsid w:val="009A3898"/>
    <w:rsid w:val="009B3EAD"/>
    <w:rsid w:val="009C4A16"/>
    <w:rsid w:val="009C6337"/>
    <w:rsid w:val="009D0303"/>
    <w:rsid w:val="009D6629"/>
    <w:rsid w:val="009E627D"/>
    <w:rsid w:val="009F2467"/>
    <w:rsid w:val="009F2F5F"/>
    <w:rsid w:val="00A0451B"/>
    <w:rsid w:val="00A14481"/>
    <w:rsid w:val="00A17882"/>
    <w:rsid w:val="00A309E5"/>
    <w:rsid w:val="00A7014A"/>
    <w:rsid w:val="00A72183"/>
    <w:rsid w:val="00A834EF"/>
    <w:rsid w:val="00AA670B"/>
    <w:rsid w:val="00AB2B9D"/>
    <w:rsid w:val="00AD5CA9"/>
    <w:rsid w:val="00AE190A"/>
    <w:rsid w:val="00AF0EF2"/>
    <w:rsid w:val="00B00F82"/>
    <w:rsid w:val="00B03941"/>
    <w:rsid w:val="00B05C08"/>
    <w:rsid w:val="00B17347"/>
    <w:rsid w:val="00B2683A"/>
    <w:rsid w:val="00B3066B"/>
    <w:rsid w:val="00B3304B"/>
    <w:rsid w:val="00B42326"/>
    <w:rsid w:val="00B550DA"/>
    <w:rsid w:val="00B56473"/>
    <w:rsid w:val="00BA4F35"/>
    <w:rsid w:val="00BB05FD"/>
    <w:rsid w:val="00BB283C"/>
    <w:rsid w:val="00BB306A"/>
    <w:rsid w:val="00BD2B78"/>
    <w:rsid w:val="00BD3D0C"/>
    <w:rsid w:val="00BD5B04"/>
    <w:rsid w:val="00BD6F18"/>
    <w:rsid w:val="00BE5F17"/>
    <w:rsid w:val="00C225BF"/>
    <w:rsid w:val="00C30068"/>
    <w:rsid w:val="00C31293"/>
    <w:rsid w:val="00C51014"/>
    <w:rsid w:val="00C65B8A"/>
    <w:rsid w:val="00C80A80"/>
    <w:rsid w:val="00C842C3"/>
    <w:rsid w:val="00C8661F"/>
    <w:rsid w:val="00C9675D"/>
    <w:rsid w:val="00C96CE0"/>
    <w:rsid w:val="00CA54D4"/>
    <w:rsid w:val="00CA65E8"/>
    <w:rsid w:val="00CC5066"/>
    <w:rsid w:val="00CD32A1"/>
    <w:rsid w:val="00CE4D6D"/>
    <w:rsid w:val="00D07EB3"/>
    <w:rsid w:val="00D146B5"/>
    <w:rsid w:val="00D16CE5"/>
    <w:rsid w:val="00D23504"/>
    <w:rsid w:val="00D438AB"/>
    <w:rsid w:val="00D52B05"/>
    <w:rsid w:val="00D54A0F"/>
    <w:rsid w:val="00D61702"/>
    <w:rsid w:val="00D62467"/>
    <w:rsid w:val="00D64B72"/>
    <w:rsid w:val="00D74D12"/>
    <w:rsid w:val="00D76E8C"/>
    <w:rsid w:val="00D77A7D"/>
    <w:rsid w:val="00D83EA7"/>
    <w:rsid w:val="00D86455"/>
    <w:rsid w:val="00D97748"/>
    <w:rsid w:val="00DD22CE"/>
    <w:rsid w:val="00DE555C"/>
    <w:rsid w:val="00DF46F1"/>
    <w:rsid w:val="00DF5CB5"/>
    <w:rsid w:val="00E02088"/>
    <w:rsid w:val="00E15BE2"/>
    <w:rsid w:val="00E16CC9"/>
    <w:rsid w:val="00E32E0E"/>
    <w:rsid w:val="00E403FC"/>
    <w:rsid w:val="00E51193"/>
    <w:rsid w:val="00E80090"/>
    <w:rsid w:val="00E8561D"/>
    <w:rsid w:val="00E878C6"/>
    <w:rsid w:val="00EA09E5"/>
    <w:rsid w:val="00EB592C"/>
    <w:rsid w:val="00EB69BF"/>
    <w:rsid w:val="00EB7045"/>
    <w:rsid w:val="00EC1DDB"/>
    <w:rsid w:val="00EC3648"/>
    <w:rsid w:val="00ED0B42"/>
    <w:rsid w:val="00ED257E"/>
    <w:rsid w:val="00ED2F2B"/>
    <w:rsid w:val="00F00E45"/>
    <w:rsid w:val="00F02BBA"/>
    <w:rsid w:val="00F032AA"/>
    <w:rsid w:val="00F05B2E"/>
    <w:rsid w:val="00F074B9"/>
    <w:rsid w:val="00F16201"/>
    <w:rsid w:val="00F26DB5"/>
    <w:rsid w:val="00F82FE6"/>
    <w:rsid w:val="00FA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87D0F4-B23E-4A3E-A7EA-2F7A9AAE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E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27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273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027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273F"/>
    <w:rPr>
      <w:b/>
      <w:bCs/>
    </w:rPr>
  </w:style>
  <w:style w:type="character" w:styleId="a5">
    <w:name w:val="Hyperlink"/>
    <w:basedOn w:val="a0"/>
    <w:uiPriority w:val="99"/>
    <w:semiHidden/>
    <w:unhideWhenUsed/>
    <w:rsid w:val="0090273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74B9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3C3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3C3473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3C3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3C3473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463E2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63E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9448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7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8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8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729">
          <w:marLeft w:val="0"/>
          <w:marRight w:val="0"/>
          <w:marTop w:val="750"/>
          <w:marBottom w:val="300"/>
          <w:divBdr>
            <w:top w:val="dotted" w:sz="6" w:space="15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8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559">
          <w:marLeft w:val="0"/>
          <w:marRight w:val="0"/>
          <w:marTop w:val="750"/>
          <w:marBottom w:val="300"/>
          <w:divBdr>
            <w:top w:val="dotted" w:sz="6" w:space="15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2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0404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5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45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2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8219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2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20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70E08-9838-405E-B512-1C71D7DE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Company>shenduxitong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wanghe</dc:creator>
  <cp:lastModifiedBy>shendu</cp:lastModifiedBy>
  <cp:revision>4</cp:revision>
  <dcterms:created xsi:type="dcterms:W3CDTF">2020-01-15T08:33:00Z</dcterms:created>
  <dcterms:modified xsi:type="dcterms:W3CDTF">2020-01-16T07:45:00Z</dcterms:modified>
</cp:coreProperties>
</file>