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D7" w:rsidRPr="00517588" w:rsidRDefault="0006160F" w:rsidP="00517588">
      <w:pPr>
        <w:spacing w:beforeLines="50" w:before="156" w:afterLines="50" w:after="156" w:line="360" w:lineRule="auto"/>
        <w:ind w:firstLineChars="1150" w:firstLine="3220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bookmarkStart w:id="0" w:name="_GoBack"/>
      <w:r w:rsidRPr="00517588">
        <w:rPr>
          <w:rFonts w:ascii="微软雅黑" w:eastAsia="微软雅黑" w:hAnsi="微软雅黑"/>
          <w:b/>
          <w:color w:val="000000" w:themeColor="text1"/>
          <w:sz w:val="28"/>
          <w:szCs w:val="28"/>
        </w:rPr>
        <w:t>近期品种价差的一些思考</w:t>
      </w:r>
    </w:p>
    <w:p w:rsidR="00E44FD7" w:rsidRPr="00517588" w:rsidRDefault="0006160F" w:rsidP="00517588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白糖单边行情以多为主，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价差本周震荡激烈，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59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月价差分析仍以卖开为主，眼下价差再次回到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-10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以下，上周持仓价差继续下跌后可逐步获利了结，长线思路可继续吃持有，没有进场的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0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点附近可尝试。</w:t>
      </w:r>
    </w:p>
    <w:p w:rsidR="00E44FD7" w:rsidRPr="00517588" w:rsidRDefault="0006160F" w:rsidP="00517588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棉花节后开盘大幅下挫，经过两三天的回涨逐渐回归基本面行情，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月棉花受疫情影响很难有大起色，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9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月可能需求好转会强于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月，所以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59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月价差仍以卖开为主，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-400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位置可逐渐开仓尝试。</w:t>
      </w:r>
    </w:p>
    <w:p w:rsidR="00E44FD7" w:rsidRPr="00517588" w:rsidRDefault="0006160F" w:rsidP="00517588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玉米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59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月价差因为节后单边波动较大，价差也大幅震荡，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月玉米难以大幅上涨应该是大概率事件，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59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月价差仍以卖开为主，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-40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左右可以尝试进场，价差走高后可小幅加仓，本周价差回到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-45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左右，前期持仓继续持有。玉米淀粉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月仍以买开为主，价差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-360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左右进场，短线思路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</w:p>
    <w:p w:rsidR="00E44FD7" w:rsidRPr="00517588" w:rsidRDefault="0006160F" w:rsidP="00517588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鸡蛋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节后走势近月明显弱于远月，受疫情和禽流感影响，未来近弱远强格局应该会一直持续下去，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59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月价差本周低点接近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-1100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，前期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-500</w:t>
      </w:r>
      <w:r w:rsidRPr="0051758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多进场的可以考虑平仓大部分，没有进场的价差回调后可以尝试进场卖开。</w:t>
      </w:r>
    </w:p>
    <w:bookmarkEnd w:id="0"/>
    <w:p w:rsidR="00517588" w:rsidRDefault="00517588" w:rsidP="00517588">
      <w:pPr>
        <w:spacing w:line="360" w:lineRule="auto"/>
        <w:rPr>
          <w:rFonts w:hAnsi="宋体" w:hint="eastAsia"/>
          <w:sz w:val="24"/>
          <w:szCs w:val="24"/>
        </w:rPr>
      </w:pPr>
    </w:p>
    <w:p w:rsidR="00E44FD7" w:rsidRDefault="00517588">
      <w:pPr>
        <w:spacing w:line="360" w:lineRule="auto"/>
        <w:rPr>
          <w:rFonts w:hAnsi="宋体"/>
          <w:sz w:val="24"/>
          <w:szCs w:val="24"/>
        </w:rPr>
      </w:pPr>
      <w:r w:rsidRPr="00517588">
        <w:rPr>
          <w:rFonts w:ascii="微软雅黑" w:eastAsia="微软雅黑" w:hAnsi="微软雅黑" w:hint="eastAsia"/>
          <w:b/>
          <w:bCs/>
          <w:color w:val="000000"/>
          <w:spacing w:val="8"/>
          <w:sz w:val="23"/>
          <w:szCs w:val="23"/>
        </w:rPr>
        <w:t>免责声明：本研究报告由金鹏经济研究所提供，其中观点仅代表分析师个人观点，出现的价位及操作建议仅体现分析师个人分析思路，分析师力求报告内容</w:t>
      </w:r>
      <w:r w:rsidRPr="00517588">
        <w:rPr>
          <w:rFonts w:ascii="微软雅黑" w:eastAsia="微软雅黑" w:hAnsi="微软雅黑" w:hint="eastAsia"/>
          <w:b/>
          <w:bCs/>
          <w:color w:val="000000"/>
          <w:spacing w:val="8"/>
          <w:sz w:val="23"/>
          <w:szCs w:val="23"/>
        </w:rPr>
        <w:lastRenderedPageBreak/>
        <w:t>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sectPr w:rsidR="00E44F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60F" w:rsidRDefault="0006160F">
      <w:r>
        <w:separator/>
      </w:r>
    </w:p>
  </w:endnote>
  <w:endnote w:type="continuationSeparator" w:id="0">
    <w:p w:rsidR="0006160F" w:rsidRDefault="0006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FD7" w:rsidRDefault="00E44FD7">
    <w:pPr>
      <w:wordWrap w:val="0"/>
      <w:rPr>
        <w:rFonts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06" w:type="dxa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E44FD7">
      <w:trPr>
        <w:jc w:val="right"/>
      </w:trPr>
      <w:tc>
        <w:tcPr>
          <w:tcW w:w="7891" w:type="dxa"/>
          <w:vAlign w:val="center"/>
        </w:tcPr>
        <w:p w:rsidR="00E44FD7" w:rsidRDefault="00E44FD7">
          <w:pPr>
            <w:pStyle w:val="a7"/>
            <w:pBdr>
              <w:bottom w:val="single" w:sz="6" w:space="0" w:color="000000"/>
            </w:pBdr>
            <w:tabs>
              <w:tab w:val="center" w:pos="4153"/>
              <w:tab w:val="right" w:pos="8306"/>
            </w:tabs>
            <w:snapToGrid w:val="0"/>
            <w:jc w:val="right"/>
            <w:rPr>
              <w:rFonts w:ascii="Calibri"/>
              <w:caps/>
              <w:color w:val="000000" w:themeColor="text1"/>
              <w:sz w:val="18"/>
              <w:szCs w:val="18"/>
            </w:rPr>
          </w:pPr>
        </w:p>
      </w:tc>
      <w:tc>
        <w:tcPr>
          <w:tcW w:w="415" w:type="dxa"/>
          <w:shd w:val="clear" w:color="000000" w:fill="FFD966" w:themeFill="accent4" w:themeFillTint="99"/>
          <w:vAlign w:val="center"/>
        </w:tcPr>
        <w:p w:rsidR="00E44FD7" w:rsidRDefault="0006160F">
          <w:pPr>
            <w:pStyle w:val="a4"/>
            <w:snapToGrid w:val="0"/>
            <w:jc w:val="center"/>
            <w:rPr>
              <w:rFonts w:hAnsi="宋体"/>
              <w:color w:val="FFFFFF" w:themeColor="background1"/>
            </w:rPr>
          </w:pPr>
          <w:r>
            <w:rPr>
              <w:rFonts w:eastAsia="Times New Roman" w:hAnsi="Times New Roman"/>
            </w:rPr>
            <w:fldChar w:fldCharType="begin"/>
          </w:r>
          <w:r>
            <w:instrText>PAGE  \* MERGEFORMAT</w:instrText>
          </w:r>
          <w:r>
            <w:rPr>
              <w:rFonts w:eastAsia="Times New Roman"/>
            </w:rPr>
            <w:fldChar w:fldCharType="separate"/>
          </w:r>
          <w:r w:rsidR="00517588" w:rsidRPr="00517588">
            <w:rPr>
              <w:rFonts w:hAnsi="宋体"/>
              <w:noProof/>
              <w:color w:val="FFFFFF" w:themeColor="background1"/>
            </w:rPr>
            <w:t>2</w:t>
          </w:r>
          <w:r>
            <w:rPr>
              <w:rFonts w:hAnsi="宋体"/>
              <w:color w:val="FFFFFF" w:themeColor="background1"/>
            </w:rPr>
            <w:fldChar w:fldCharType="end"/>
          </w:r>
        </w:p>
      </w:tc>
    </w:tr>
  </w:tbl>
  <w:p w:rsidR="00E44FD7" w:rsidRDefault="00E44FD7">
    <w:pPr>
      <w:pStyle w:val="a4"/>
      <w:snapToGrid w:val="0"/>
      <w:jc w:val="left"/>
      <w:rPr>
        <w:rFonts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FD7" w:rsidRDefault="00E44FD7">
    <w:pPr>
      <w:wordWrap w:val="0"/>
      <w:rPr>
        <w:rFonts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60F" w:rsidRDefault="0006160F">
      <w:r>
        <w:separator/>
      </w:r>
    </w:p>
  </w:footnote>
  <w:footnote w:type="continuationSeparator" w:id="0">
    <w:p w:rsidR="0006160F" w:rsidRDefault="00061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FD7" w:rsidRDefault="00E44FD7">
    <w:pPr>
      <w:wordWrap w:val="0"/>
      <w:rPr>
        <w:rFonts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FD7" w:rsidRDefault="0006160F">
    <w:pPr>
      <w:pStyle w:val="a7"/>
      <w:pBdr>
        <w:bottom w:val="single" w:sz="6" w:space="0" w:color="000000"/>
      </w:pBdr>
      <w:tabs>
        <w:tab w:val="center" w:pos="4153"/>
        <w:tab w:val="right" w:pos="8306"/>
      </w:tabs>
      <w:snapToGrid w:val="0"/>
      <w:rPr>
        <w:rFonts w:ascii="华文楷体" w:eastAsia="华文楷体" w:hAnsi="华文楷体"/>
        <w:b/>
        <w:sz w:val="32"/>
        <w:szCs w:val="32"/>
      </w:rPr>
    </w:pPr>
    <w:r>
      <w:rPr>
        <w:noProof/>
        <w:sz w:val="20"/>
      </w:rPr>
      <w:drawing>
        <wp:inline distT="0" distB="0" distL="0" distR="0">
          <wp:extent cx="418465" cy="414655"/>
          <wp:effectExtent l="0" t="0" r="0" b="635"/>
          <wp:docPr id="4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金鹏期货公司\公司信息\公司LOGO\logo1金色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1083" t="-6960" r="85349" b="6960"/>
                  <a:stretch>
                    <a:fillRect/>
                  </a:stretch>
                </pic:blipFill>
                <pic:spPr>
                  <a:xfrm>
                    <a:off x="0" y="0"/>
                    <a:ext cx="419100" cy="41529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>
          <wp:extent cx="1497330" cy="422910"/>
          <wp:effectExtent l="0" t="0" r="0" b="0"/>
          <wp:docPr id="5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31645" t="37210" r="32369" b="-2326"/>
                  <a:stretch>
                    <a:fillRect/>
                  </a:stretch>
                </pic:blipFill>
                <pic:spPr>
                  <a:xfrm>
                    <a:off x="0" y="0"/>
                    <a:ext cx="1497965" cy="42354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rFonts w:ascii="Calibri"/>
        <w:sz w:val="18"/>
        <w:szCs w:val="18"/>
      </w:rPr>
      <w:tab/>
    </w:r>
    <w:r>
      <w:rPr>
        <w:rFonts w:ascii="华文楷体" w:eastAsia="华文楷体" w:hAnsi="华文楷体"/>
        <w:b/>
        <w:color w:val="000000" w:themeColor="text1"/>
        <w:sz w:val="32"/>
        <w:szCs w:val="32"/>
      </w:rPr>
      <w:t>金</w:t>
    </w:r>
    <w:r>
      <w:rPr>
        <w:rFonts w:ascii="华文楷体" w:eastAsia="华文楷体" w:hAnsi="华文楷体"/>
        <w:b/>
        <w:sz w:val="32"/>
        <w:szCs w:val="32"/>
      </w:rPr>
      <w:t>鹏经济研究所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FD7" w:rsidRDefault="00E44FD7">
    <w:pPr>
      <w:wordWrap w:val="0"/>
      <w:rPr>
        <w:rFonts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3A6271"/>
    <w:rsid w:val="000169A8"/>
    <w:rsid w:val="00026235"/>
    <w:rsid w:val="000414E5"/>
    <w:rsid w:val="000434BD"/>
    <w:rsid w:val="00057FBB"/>
    <w:rsid w:val="0006160F"/>
    <w:rsid w:val="00062D96"/>
    <w:rsid w:val="000667A8"/>
    <w:rsid w:val="000B3CEC"/>
    <w:rsid w:val="000D23DA"/>
    <w:rsid w:val="000F6974"/>
    <w:rsid w:val="001019BB"/>
    <w:rsid w:val="00123E20"/>
    <w:rsid w:val="00147856"/>
    <w:rsid w:val="00181345"/>
    <w:rsid w:val="001E0E52"/>
    <w:rsid w:val="00205A83"/>
    <w:rsid w:val="002267D7"/>
    <w:rsid w:val="002A450A"/>
    <w:rsid w:val="002B114B"/>
    <w:rsid w:val="002C6D2B"/>
    <w:rsid w:val="00326FDC"/>
    <w:rsid w:val="0033293E"/>
    <w:rsid w:val="003750FF"/>
    <w:rsid w:val="003A4915"/>
    <w:rsid w:val="003A6271"/>
    <w:rsid w:val="003D705D"/>
    <w:rsid w:val="003E563A"/>
    <w:rsid w:val="00444697"/>
    <w:rsid w:val="004470E2"/>
    <w:rsid w:val="00477614"/>
    <w:rsid w:val="004844F6"/>
    <w:rsid w:val="00485842"/>
    <w:rsid w:val="004B01C9"/>
    <w:rsid w:val="00517588"/>
    <w:rsid w:val="005227C4"/>
    <w:rsid w:val="0053716C"/>
    <w:rsid w:val="005442C3"/>
    <w:rsid w:val="005B44F6"/>
    <w:rsid w:val="005B46F6"/>
    <w:rsid w:val="005D2D5D"/>
    <w:rsid w:val="00605D22"/>
    <w:rsid w:val="006640B5"/>
    <w:rsid w:val="006727A2"/>
    <w:rsid w:val="00672824"/>
    <w:rsid w:val="0069218D"/>
    <w:rsid w:val="006C29A9"/>
    <w:rsid w:val="006F7E92"/>
    <w:rsid w:val="007332C3"/>
    <w:rsid w:val="00755D77"/>
    <w:rsid w:val="00763360"/>
    <w:rsid w:val="007B1E70"/>
    <w:rsid w:val="007C17FA"/>
    <w:rsid w:val="007F6371"/>
    <w:rsid w:val="007F64FD"/>
    <w:rsid w:val="008073B1"/>
    <w:rsid w:val="00843AB6"/>
    <w:rsid w:val="00867A79"/>
    <w:rsid w:val="0088667F"/>
    <w:rsid w:val="008B1836"/>
    <w:rsid w:val="008E394F"/>
    <w:rsid w:val="008F5D71"/>
    <w:rsid w:val="009701ED"/>
    <w:rsid w:val="0097310E"/>
    <w:rsid w:val="00986D97"/>
    <w:rsid w:val="00996F9E"/>
    <w:rsid w:val="009E0ABB"/>
    <w:rsid w:val="00A02630"/>
    <w:rsid w:val="00A12ACB"/>
    <w:rsid w:val="00A651C6"/>
    <w:rsid w:val="00AA6B94"/>
    <w:rsid w:val="00AB2DC2"/>
    <w:rsid w:val="00AC7186"/>
    <w:rsid w:val="00B14A67"/>
    <w:rsid w:val="00B81363"/>
    <w:rsid w:val="00BC501E"/>
    <w:rsid w:val="00BE4E20"/>
    <w:rsid w:val="00C03406"/>
    <w:rsid w:val="00C064E9"/>
    <w:rsid w:val="00C16A34"/>
    <w:rsid w:val="00C46F1A"/>
    <w:rsid w:val="00C72F45"/>
    <w:rsid w:val="00CB1220"/>
    <w:rsid w:val="00CC7482"/>
    <w:rsid w:val="00CF19D7"/>
    <w:rsid w:val="00CF58F3"/>
    <w:rsid w:val="00D4799C"/>
    <w:rsid w:val="00DB6CAA"/>
    <w:rsid w:val="00E42588"/>
    <w:rsid w:val="00E44FD7"/>
    <w:rsid w:val="00E601E0"/>
    <w:rsid w:val="00E75742"/>
    <w:rsid w:val="00EE24CF"/>
    <w:rsid w:val="00F3108A"/>
    <w:rsid w:val="00F46AA2"/>
    <w:rsid w:val="00F64BF8"/>
    <w:rsid w:val="00FD24B9"/>
    <w:rsid w:val="418B226F"/>
    <w:rsid w:val="436D5ADE"/>
    <w:rsid w:val="5838665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FD1877-90CD-4EB1-B7F8-FD386D7D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37" w:unhideWhenUsed="1" w:qFormat="1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1"/>
      <w:szCs w:val="21"/>
    </w:rPr>
  </w:style>
  <w:style w:type="paragraph" w:styleId="1">
    <w:name w:val="heading 1"/>
    <w:next w:val="a"/>
    <w:uiPriority w:val="9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9"/>
    <w:semiHidden/>
    <w:unhideWhenUsed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semiHidden/>
    <w:unhideWhenUsed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9"/>
    <w:semiHidden/>
    <w:unhideWhenUsed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9"/>
    <w:semiHidden/>
    <w:unhideWhenUsed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9"/>
    <w:semiHidden/>
    <w:unhideWhenUsed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6">
    <w:name w:val="Subtitle"/>
    <w:uiPriority w:val="11"/>
    <w:qFormat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7">
    <w:name w:val="Normal (Web)"/>
    <w:basedOn w:val="a"/>
    <w:semiHidden/>
    <w:unhideWhenUsed/>
    <w:qFormat/>
    <w:rPr>
      <w:rFonts w:ascii="宋体" w:hAnsi="宋体"/>
      <w:sz w:val="24"/>
      <w:szCs w:val="24"/>
    </w:rPr>
  </w:style>
  <w:style w:type="paragraph" w:styleId="a8">
    <w:name w:val="Title"/>
    <w:uiPriority w:val="10"/>
    <w:qFormat/>
    <w:pPr>
      <w:jc w:val="center"/>
    </w:pPr>
    <w:rPr>
      <w:b/>
      <w:sz w:val="32"/>
      <w:szCs w:val="32"/>
    </w:rPr>
  </w:style>
  <w:style w:type="table" w:styleId="a9">
    <w:name w:val="Table Grid"/>
    <w:basedOn w:val="a1"/>
    <w:uiPriority w:val="37"/>
    <w:qFormat/>
    <w:rPr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Pr>
      <w:b/>
      <w:w w:val="100"/>
      <w:sz w:val="21"/>
      <w:szCs w:val="21"/>
      <w:shd w:val="clear" w:color="000000" w:fill="auto"/>
    </w:rPr>
  </w:style>
  <w:style w:type="character" w:styleId="ab">
    <w:name w:val="Emphasis"/>
    <w:uiPriority w:val="18"/>
    <w:qFormat/>
    <w:rPr>
      <w:i/>
      <w:w w:val="100"/>
      <w:sz w:val="21"/>
      <w:szCs w:val="21"/>
      <w:shd w:val="clear" w:color="000000" w:fill="auto"/>
    </w:rPr>
  </w:style>
  <w:style w:type="paragraph" w:styleId="ac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000000" w:fill="auto"/>
    </w:rPr>
  </w:style>
  <w:style w:type="paragraph" w:styleId="ad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e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basedOn w:val="a"/>
    <w:uiPriority w:val="26"/>
    <w:qFormat/>
    <w:pPr>
      <w:ind w:firstLine="420"/>
    </w:pPr>
  </w:style>
  <w:style w:type="paragraph" w:customStyle="1" w:styleId="TOC1">
    <w:name w:val="TOC 标题1"/>
    <w:uiPriority w:val="27"/>
    <w:unhideWhenUsed/>
    <w:qFormat/>
    <w:rPr>
      <w:color w:val="2E74B5"/>
      <w:sz w:val="32"/>
      <w:szCs w:val="32"/>
    </w:rPr>
  </w:style>
  <w:style w:type="character" w:customStyle="1" w:styleId="Char1">
    <w:name w:val="页眉 Char"/>
    <w:basedOn w:val="a0"/>
    <w:link w:val="a5"/>
    <w:qFormat/>
    <w:rPr>
      <w:w w:val="100"/>
      <w:sz w:val="18"/>
      <w:szCs w:val="18"/>
      <w:shd w:val="clear" w:color="000000" w:fill="auto"/>
    </w:rPr>
  </w:style>
  <w:style w:type="character" w:customStyle="1" w:styleId="Char0">
    <w:name w:val="页脚 Char"/>
    <w:basedOn w:val="a0"/>
    <w:link w:val="a4"/>
    <w:rPr>
      <w:w w:val="100"/>
      <w:sz w:val="18"/>
      <w:szCs w:val="18"/>
      <w:shd w:val="clear" w:color="000000" w:fill="auto"/>
    </w:rPr>
  </w:style>
  <w:style w:type="character" w:customStyle="1" w:styleId="Char">
    <w:name w:val="批注框文本 Char"/>
    <w:basedOn w:val="a0"/>
    <w:link w:val="a3"/>
    <w:semiHidden/>
    <w:qFormat/>
    <w:rPr>
      <w:w w:val="100"/>
      <w:sz w:val="18"/>
      <w:szCs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88</Words>
  <Characters>503</Characters>
  <Application>Microsoft Office Word</Application>
  <DocSecurity>0</DocSecurity>
  <Lines>4</Lines>
  <Paragraphs>1</Paragraphs>
  <ScaleCrop>false</ScaleCrop>
  <Company>shenduxitong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Win7_64</cp:lastModifiedBy>
  <cp:revision>50</cp:revision>
  <dcterms:created xsi:type="dcterms:W3CDTF">2018-09-05T01:40:00Z</dcterms:created>
  <dcterms:modified xsi:type="dcterms:W3CDTF">2020-02-13T09:30:00Z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